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2"/>
        <w:gridCol w:w="9072"/>
        <w:gridCol w:w="1701"/>
        <w:gridCol w:w="2410"/>
      </w:tblGrid>
      <w:tr w:rsidR="00643173" w14:paraId="0FCF340B" w14:textId="77777777" w:rsidTr="00FF1502">
        <w:trPr>
          <w:trHeight w:val="416"/>
        </w:trPr>
        <w:tc>
          <w:tcPr>
            <w:tcW w:w="13745" w:type="dxa"/>
            <w:gridSpan w:val="4"/>
          </w:tcPr>
          <w:p w14:paraId="45F62AA7" w14:textId="6E4CCA9D" w:rsidR="00643173" w:rsidRPr="000D4B28" w:rsidRDefault="00643173" w:rsidP="00643173">
            <w:pPr>
              <w:jc w:val="center"/>
              <w:rPr>
                <w:rFonts w:ascii="Arial" w:hAnsi="Arial" w:cs="Arial"/>
                <w:sz w:val="24"/>
                <w:szCs w:val="24"/>
              </w:rPr>
            </w:pPr>
            <w:r w:rsidRPr="00135AB6">
              <w:rPr>
                <w:rFonts w:ascii="Arial" w:hAnsi="Arial" w:cs="Arial"/>
                <w:b/>
                <w:bCs/>
                <w:color w:val="000000" w:themeColor="text1"/>
                <w:sz w:val="24"/>
                <w:szCs w:val="24"/>
              </w:rPr>
              <w:t>Price</w:t>
            </w:r>
            <w:r w:rsidRPr="00135AB6">
              <w:rPr>
                <w:rFonts w:ascii="Arial" w:hAnsi="Arial" w:cs="Arial"/>
                <w:color w:val="000000" w:themeColor="text1"/>
                <w:sz w:val="24"/>
                <w:szCs w:val="24"/>
              </w:rPr>
              <w:t xml:space="preserve"> </w:t>
            </w:r>
            <w:r w:rsidRPr="00135AB6">
              <w:rPr>
                <w:rFonts w:ascii="Arial" w:hAnsi="Arial" w:cs="Arial"/>
                <w:b/>
                <w:bCs/>
                <w:color w:val="000000" w:themeColor="text1"/>
                <w:sz w:val="24"/>
                <w:szCs w:val="24"/>
              </w:rPr>
              <w:t>Banding Information Matrix</w:t>
            </w:r>
          </w:p>
        </w:tc>
      </w:tr>
      <w:tr w:rsidR="00643173" w14:paraId="414B8777" w14:textId="77777777" w:rsidTr="00FF1502">
        <w:tc>
          <w:tcPr>
            <w:tcW w:w="562" w:type="dxa"/>
          </w:tcPr>
          <w:p w14:paraId="1B0C48A4" w14:textId="62A37AEE" w:rsidR="00643173" w:rsidRPr="000D4B28" w:rsidRDefault="000D4B28">
            <w:pPr>
              <w:rPr>
                <w:b/>
                <w:bCs/>
              </w:rPr>
            </w:pPr>
            <w:r w:rsidRPr="000D4B28">
              <w:rPr>
                <w:b/>
                <w:bCs/>
              </w:rPr>
              <w:t>P1</w:t>
            </w:r>
          </w:p>
        </w:tc>
        <w:tc>
          <w:tcPr>
            <w:tcW w:w="9072" w:type="dxa"/>
          </w:tcPr>
          <w:p w14:paraId="414B695C" w14:textId="3B8CAEE8" w:rsidR="00643173" w:rsidRPr="000D4B28" w:rsidRDefault="000D4B28">
            <w:pPr>
              <w:rPr>
                <w:rFonts w:ascii="Arial" w:hAnsi="Arial" w:cs="Arial"/>
                <w:b/>
                <w:bCs/>
                <w:sz w:val="24"/>
                <w:szCs w:val="24"/>
              </w:rPr>
            </w:pPr>
            <w:r w:rsidRPr="000D4B28">
              <w:rPr>
                <w:rFonts w:ascii="Arial" w:hAnsi="Arial" w:cs="Arial"/>
                <w:b/>
                <w:bCs/>
                <w:sz w:val="24"/>
                <w:szCs w:val="24"/>
              </w:rPr>
              <w:t xml:space="preserve">Pricing </w:t>
            </w:r>
            <w:r>
              <w:rPr>
                <w:rFonts w:ascii="Arial" w:hAnsi="Arial" w:cs="Arial"/>
                <w:b/>
                <w:bCs/>
                <w:sz w:val="24"/>
                <w:szCs w:val="24"/>
              </w:rPr>
              <w:t>R</w:t>
            </w:r>
            <w:r w:rsidRPr="000D4B28">
              <w:rPr>
                <w:rFonts w:ascii="Arial" w:hAnsi="Arial" w:cs="Arial"/>
                <w:b/>
                <w:bCs/>
                <w:sz w:val="24"/>
                <w:szCs w:val="24"/>
              </w:rPr>
              <w:t>ates</w:t>
            </w:r>
          </w:p>
        </w:tc>
        <w:tc>
          <w:tcPr>
            <w:tcW w:w="1701" w:type="dxa"/>
          </w:tcPr>
          <w:p w14:paraId="0515C797" w14:textId="77777777" w:rsidR="00643173" w:rsidRDefault="00643173"/>
        </w:tc>
        <w:tc>
          <w:tcPr>
            <w:tcW w:w="2410" w:type="dxa"/>
          </w:tcPr>
          <w:p w14:paraId="2F96A52D" w14:textId="77777777" w:rsidR="00643173" w:rsidRDefault="00643173"/>
        </w:tc>
      </w:tr>
      <w:tr w:rsidR="000D4B28" w14:paraId="36793398" w14:textId="77777777" w:rsidTr="00FF1502">
        <w:tc>
          <w:tcPr>
            <w:tcW w:w="562" w:type="dxa"/>
          </w:tcPr>
          <w:p w14:paraId="0998AB16" w14:textId="77777777" w:rsidR="000D4B28" w:rsidRDefault="000D4B28"/>
        </w:tc>
        <w:tc>
          <w:tcPr>
            <w:tcW w:w="13183" w:type="dxa"/>
            <w:gridSpan w:val="3"/>
          </w:tcPr>
          <w:p w14:paraId="78BE4565" w14:textId="1939590E" w:rsidR="000D4B28" w:rsidRDefault="000D4B28">
            <w:r>
              <w:t>The Banding Matrix below sets out the maximum Capped Prices for the Annual Rates per pupil</w:t>
            </w:r>
          </w:p>
        </w:tc>
      </w:tr>
      <w:tr w:rsidR="00643173" w14:paraId="1D5AF7C1" w14:textId="77777777" w:rsidTr="00FF1502">
        <w:tc>
          <w:tcPr>
            <w:tcW w:w="562" w:type="dxa"/>
          </w:tcPr>
          <w:p w14:paraId="62BD2A74" w14:textId="77777777" w:rsidR="00643173" w:rsidRDefault="00643173"/>
        </w:tc>
        <w:tc>
          <w:tcPr>
            <w:tcW w:w="9072" w:type="dxa"/>
          </w:tcPr>
          <w:p w14:paraId="0E1294FC" w14:textId="7DDD101B" w:rsidR="00643173" w:rsidRPr="000D4B28" w:rsidRDefault="000D4B28">
            <w:pPr>
              <w:rPr>
                <w:b/>
                <w:bCs/>
              </w:rPr>
            </w:pPr>
            <w:r>
              <w:rPr>
                <w:b/>
                <w:bCs/>
              </w:rPr>
              <w:t>CYP Presentation</w:t>
            </w:r>
            <w:r w:rsidR="00FF1502">
              <w:rPr>
                <w:b/>
                <w:bCs/>
              </w:rPr>
              <w:t>/Need</w:t>
            </w:r>
          </w:p>
        </w:tc>
        <w:tc>
          <w:tcPr>
            <w:tcW w:w="1701" w:type="dxa"/>
          </w:tcPr>
          <w:p w14:paraId="79EA5026" w14:textId="4A89A83D" w:rsidR="00643173" w:rsidRPr="000D4B28" w:rsidRDefault="000D4B28">
            <w:pPr>
              <w:rPr>
                <w:b/>
                <w:bCs/>
              </w:rPr>
            </w:pPr>
            <w:r w:rsidRPr="000D4B28">
              <w:rPr>
                <w:b/>
                <w:bCs/>
              </w:rPr>
              <w:t>Band</w:t>
            </w:r>
          </w:p>
        </w:tc>
        <w:tc>
          <w:tcPr>
            <w:tcW w:w="2410" w:type="dxa"/>
          </w:tcPr>
          <w:p w14:paraId="2D11C262" w14:textId="7CCC7DDC" w:rsidR="00643173" w:rsidRPr="000D4B28" w:rsidRDefault="000D4B28">
            <w:pPr>
              <w:rPr>
                <w:b/>
                <w:bCs/>
              </w:rPr>
            </w:pPr>
            <w:r w:rsidRPr="000D4B28">
              <w:rPr>
                <w:b/>
                <w:bCs/>
              </w:rPr>
              <w:t>Capped Price</w:t>
            </w:r>
          </w:p>
        </w:tc>
      </w:tr>
      <w:tr w:rsidR="003C40A5" w14:paraId="4AA25B36" w14:textId="77777777" w:rsidTr="003C40A5">
        <w:trPr>
          <w:trHeight w:val="705"/>
        </w:trPr>
        <w:tc>
          <w:tcPr>
            <w:tcW w:w="562" w:type="dxa"/>
            <w:vMerge w:val="restart"/>
          </w:tcPr>
          <w:p w14:paraId="45DF6BE6" w14:textId="77777777" w:rsidR="003C40A5" w:rsidRDefault="003C40A5"/>
        </w:tc>
        <w:tc>
          <w:tcPr>
            <w:tcW w:w="9072" w:type="dxa"/>
            <w:vMerge w:val="restart"/>
          </w:tcPr>
          <w:p w14:paraId="4DB21BE6" w14:textId="77777777" w:rsidR="003C40A5" w:rsidRPr="00FF1502" w:rsidRDefault="003C40A5" w:rsidP="00FF1502">
            <w:pPr>
              <w:pStyle w:val="paragraph"/>
              <w:spacing w:before="0" w:beforeAutospacing="0" w:after="0" w:afterAutospacing="0"/>
              <w:ind w:left="37" w:hanging="37"/>
              <w:jc w:val="both"/>
              <w:textAlignment w:val="baseline"/>
              <w:rPr>
                <w:rFonts w:ascii="Segoe UI" w:hAnsi="Segoe UI" w:cs="Segoe UI"/>
                <w:sz w:val="20"/>
                <w:szCs w:val="20"/>
              </w:rPr>
            </w:pPr>
            <w:r w:rsidRPr="00FF1502">
              <w:rPr>
                <w:rStyle w:val="normaltextrun"/>
                <w:rFonts w:ascii="Arial" w:eastAsiaTheme="majorEastAsia" w:hAnsi="Arial" w:cs="Arial"/>
                <w:b/>
                <w:bCs/>
                <w:color w:val="0070C0"/>
                <w:sz w:val="20"/>
                <w:szCs w:val="20"/>
              </w:rPr>
              <w:t>Cognition and Learning</w:t>
            </w:r>
            <w:r w:rsidRPr="00FF1502">
              <w:rPr>
                <w:rStyle w:val="eop"/>
                <w:rFonts w:ascii="Arial" w:eastAsiaTheme="majorEastAsia" w:hAnsi="Arial" w:cs="Arial"/>
                <w:color w:val="0070C0"/>
                <w:sz w:val="20"/>
                <w:szCs w:val="20"/>
              </w:rPr>
              <w:t> </w:t>
            </w:r>
          </w:p>
          <w:p w14:paraId="44E51CB9" w14:textId="77777777" w:rsidR="003C40A5" w:rsidRPr="00FF1502" w:rsidRDefault="003C40A5" w:rsidP="00FF1502">
            <w:pPr>
              <w:pStyle w:val="paragraph"/>
              <w:spacing w:before="0" w:beforeAutospacing="0" w:after="0" w:afterAutospacing="0"/>
              <w:jc w:val="both"/>
              <w:textAlignment w:val="baseline"/>
              <w:rPr>
                <w:rFonts w:ascii="Segoe UI" w:hAnsi="Segoe UI" w:cs="Segoe UI"/>
                <w:sz w:val="20"/>
                <w:szCs w:val="20"/>
              </w:rPr>
            </w:pPr>
            <w:r w:rsidRPr="00FF1502">
              <w:rPr>
                <w:rStyle w:val="normaltextrun"/>
                <w:rFonts w:ascii="Arial" w:eastAsiaTheme="majorEastAsia" w:hAnsi="Arial" w:cs="Arial"/>
                <w:sz w:val="20"/>
                <w:szCs w:val="20"/>
              </w:rPr>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and Down Syndrome (where children are likely to need support in all areas of the curriculum and with associated difficulties with mobility and communication) through to profound and multiple learning difficulties (PMLD), (where children are likely to have severe and complex learning difficulties as well as a physical disability or sensory impairment).  Children with cognition and learning needs are likely to have working memory related difficulties and delays with processing information (processing speed). Specific learning difficulties (</w:t>
            </w:r>
            <w:proofErr w:type="spellStart"/>
            <w:r w:rsidRPr="00FF1502">
              <w:rPr>
                <w:rStyle w:val="normaltextrun"/>
                <w:rFonts w:ascii="Arial" w:eastAsiaTheme="majorEastAsia" w:hAnsi="Arial" w:cs="Arial"/>
                <w:sz w:val="20"/>
                <w:szCs w:val="20"/>
              </w:rPr>
              <w:t>SpLD</w:t>
            </w:r>
            <w:proofErr w:type="spellEnd"/>
            <w:r w:rsidRPr="00FF1502">
              <w:rPr>
                <w:rStyle w:val="normaltextrun"/>
                <w:rFonts w:ascii="Arial" w:eastAsiaTheme="majorEastAsia" w:hAnsi="Arial" w:cs="Arial"/>
                <w:sz w:val="20"/>
                <w:szCs w:val="20"/>
              </w:rPr>
              <w:t>), affect one or more specific aspects of learning. This encompasses a range of conditions such as dyslexia, dyscalculia and dyspraxia.  </w:t>
            </w:r>
            <w:r w:rsidRPr="00FF1502">
              <w:rPr>
                <w:rStyle w:val="eop"/>
                <w:rFonts w:ascii="Arial" w:eastAsiaTheme="majorEastAsia" w:hAnsi="Arial" w:cs="Arial"/>
                <w:sz w:val="20"/>
                <w:szCs w:val="20"/>
              </w:rPr>
              <w:t> </w:t>
            </w:r>
          </w:p>
          <w:p w14:paraId="273B26A8" w14:textId="77777777" w:rsidR="003C40A5" w:rsidRDefault="003C40A5"/>
        </w:tc>
        <w:tc>
          <w:tcPr>
            <w:tcW w:w="1701" w:type="dxa"/>
          </w:tcPr>
          <w:p w14:paraId="4C19A9B5" w14:textId="77777777" w:rsidR="003C40A5" w:rsidRDefault="003C40A5"/>
          <w:p w14:paraId="2346B52D" w14:textId="38D24709" w:rsidR="003C40A5" w:rsidRDefault="003C40A5">
            <w:r>
              <w:t>Band 1</w:t>
            </w:r>
          </w:p>
        </w:tc>
        <w:tc>
          <w:tcPr>
            <w:tcW w:w="2410" w:type="dxa"/>
          </w:tcPr>
          <w:p w14:paraId="26E3719F" w14:textId="77777777" w:rsidR="003C40A5" w:rsidRDefault="003C40A5"/>
          <w:p w14:paraId="6AA15763" w14:textId="4E943DF5" w:rsidR="003C40A5" w:rsidRDefault="003C40A5">
            <w:r>
              <w:t>Up to £25,000</w:t>
            </w:r>
          </w:p>
        </w:tc>
      </w:tr>
      <w:tr w:rsidR="003C40A5" w14:paraId="385D568D" w14:textId="77777777" w:rsidTr="00560A64">
        <w:trPr>
          <w:trHeight w:val="705"/>
        </w:trPr>
        <w:tc>
          <w:tcPr>
            <w:tcW w:w="562" w:type="dxa"/>
            <w:vMerge/>
          </w:tcPr>
          <w:p w14:paraId="59BC83CF" w14:textId="77777777" w:rsidR="003C40A5" w:rsidRDefault="003C40A5"/>
        </w:tc>
        <w:tc>
          <w:tcPr>
            <w:tcW w:w="9072" w:type="dxa"/>
            <w:vMerge/>
          </w:tcPr>
          <w:p w14:paraId="301974D7" w14:textId="77777777" w:rsidR="003C40A5" w:rsidRPr="00FF1502" w:rsidRDefault="003C40A5" w:rsidP="00FF1502">
            <w:pPr>
              <w:pStyle w:val="paragraph"/>
              <w:spacing w:before="0" w:beforeAutospacing="0" w:after="0" w:afterAutospacing="0"/>
              <w:ind w:left="37" w:hanging="37"/>
              <w:jc w:val="both"/>
              <w:textAlignment w:val="baseline"/>
              <w:rPr>
                <w:rStyle w:val="normaltextrun"/>
                <w:rFonts w:ascii="Arial" w:eastAsiaTheme="majorEastAsia" w:hAnsi="Arial" w:cs="Arial"/>
                <w:b/>
                <w:bCs/>
                <w:color w:val="0070C0"/>
                <w:sz w:val="20"/>
                <w:szCs w:val="20"/>
              </w:rPr>
            </w:pPr>
          </w:p>
        </w:tc>
        <w:tc>
          <w:tcPr>
            <w:tcW w:w="1701" w:type="dxa"/>
          </w:tcPr>
          <w:p w14:paraId="5B87956D" w14:textId="77777777" w:rsidR="003C40A5" w:rsidRDefault="003C40A5"/>
          <w:p w14:paraId="5BA4315F" w14:textId="3C139349" w:rsidR="003C40A5" w:rsidRDefault="003C40A5">
            <w:r>
              <w:t>Band 2</w:t>
            </w:r>
          </w:p>
        </w:tc>
        <w:tc>
          <w:tcPr>
            <w:tcW w:w="2410" w:type="dxa"/>
          </w:tcPr>
          <w:p w14:paraId="6D8F7404" w14:textId="77777777" w:rsidR="003C40A5" w:rsidRDefault="003C40A5"/>
          <w:p w14:paraId="4506FE7A" w14:textId="55DD1CDB" w:rsidR="003C40A5" w:rsidRDefault="003C40A5">
            <w:r>
              <w:t>Up to £50,000</w:t>
            </w:r>
          </w:p>
        </w:tc>
      </w:tr>
      <w:tr w:rsidR="003C40A5" w14:paraId="3FDEE7BB" w14:textId="77777777" w:rsidTr="00560A64">
        <w:trPr>
          <w:trHeight w:val="705"/>
        </w:trPr>
        <w:tc>
          <w:tcPr>
            <w:tcW w:w="562" w:type="dxa"/>
            <w:vMerge/>
          </w:tcPr>
          <w:p w14:paraId="6FCE3CF5" w14:textId="77777777" w:rsidR="003C40A5" w:rsidRDefault="003C40A5"/>
        </w:tc>
        <w:tc>
          <w:tcPr>
            <w:tcW w:w="9072" w:type="dxa"/>
            <w:vMerge/>
          </w:tcPr>
          <w:p w14:paraId="560565C2" w14:textId="77777777" w:rsidR="003C40A5" w:rsidRPr="00FF1502" w:rsidRDefault="003C40A5" w:rsidP="00FF1502">
            <w:pPr>
              <w:pStyle w:val="paragraph"/>
              <w:spacing w:before="0" w:beforeAutospacing="0" w:after="0" w:afterAutospacing="0"/>
              <w:ind w:left="37" w:hanging="37"/>
              <w:jc w:val="both"/>
              <w:textAlignment w:val="baseline"/>
              <w:rPr>
                <w:rStyle w:val="normaltextrun"/>
                <w:rFonts w:ascii="Arial" w:eastAsiaTheme="majorEastAsia" w:hAnsi="Arial" w:cs="Arial"/>
                <w:b/>
                <w:bCs/>
                <w:color w:val="0070C0"/>
                <w:sz w:val="20"/>
                <w:szCs w:val="20"/>
              </w:rPr>
            </w:pPr>
          </w:p>
        </w:tc>
        <w:tc>
          <w:tcPr>
            <w:tcW w:w="1701" w:type="dxa"/>
          </w:tcPr>
          <w:p w14:paraId="45E2B0A1" w14:textId="77777777" w:rsidR="003C40A5" w:rsidRDefault="003C40A5"/>
          <w:p w14:paraId="281DACE7" w14:textId="63B56121" w:rsidR="003C40A5" w:rsidRDefault="003C40A5">
            <w:r>
              <w:t>Band 3</w:t>
            </w:r>
          </w:p>
        </w:tc>
        <w:tc>
          <w:tcPr>
            <w:tcW w:w="2410" w:type="dxa"/>
          </w:tcPr>
          <w:p w14:paraId="75D535DB" w14:textId="77777777" w:rsidR="003C40A5" w:rsidRDefault="003C40A5"/>
          <w:p w14:paraId="157EE333" w14:textId="22A25BA8" w:rsidR="003C40A5" w:rsidRDefault="003C40A5">
            <w:r>
              <w:t>Up to £75,000</w:t>
            </w:r>
          </w:p>
        </w:tc>
      </w:tr>
      <w:tr w:rsidR="003C40A5" w14:paraId="6626940E" w14:textId="77777777" w:rsidTr="00560A64">
        <w:trPr>
          <w:trHeight w:val="705"/>
        </w:trPr>
        <w:tc>
          <w:tcPr>
            <w:tcW w:w="562" w:type="dxa"/>
            <w:vMerge/>
          </w:tcPr>
          <w:p w14:paraId="656CC05B" w14:textId="77777777" w:rsidR="003C40A5" w:rsidRDefault="003C40A5"/>
        </w:tc>
        <w:tc>
          <w:tcPr>
            <w:tcW w:w="9072" w:type="dxa"/>
            <w:vMerge/>
          </w:tcPr>
          <w:p w14:paraId="181C5195" w14:textId="77777777" w:rsidR="003C40A5" w:rsidRPr="00FF1502" w:rsidRDefault="003C40A5" w:rsidP="00FF1502">
            <w:pPr>
              <w:pStyle w:val="paragraph"/>
              <w:spacing w:before="0" w:beforeAutospacing="0" w:after="0" w:afterAutospacing="0"/>
              <w:ind w:left="37" w:hanging="37"/>
              <w:jc w:val="both"/>
              <w:textAlignment w:val="baseline"/>
              <w:rPr>
                <w:rStyle w:val="normaltextrun"/>
                <w:rFonts w:ascii="Arial" w:eastAsiaTheme="majorEastAsia" w:hAnsi="Arial" w:cs="Arial"/>
                <w:b/>
                <w:bCs/>
                <w:color w:val="0070C0"/>
                <w:sz w:val="20"/>
                <w:szCs w:val="20"/>
              </w:rPr>
            </w:pPr>
          </w:p>
        </w:tc>
        <w:tc>
          <w:tcPr>
            <w:tcW w:w="1701" w:type="dxa"/>
          </w:tcPr>
          <w:p w14:paraId="2718EFB0" w14:textId="77777777" w:rsidR="003C40A5" w:rsidRDefault="003C40A5"/>
          <w:p w14:paraId="11727189" w14:textId="27C1AA50" w:rsidR="003C40A5" w:rsidRDefault="003C40A5">
            <w:r>
              <w:t>Band 4</w:t>
            </w:r>
          </w:p>
        </w:tc>
        <w:tc>
          <w:tcPr>
            <w:tcW w:w="2410" w:type="dxa"/>
          </w:tcPr>
          <w:p w14:paraId="11951212" w14:textId="77777777" w:rsidR="003C40A5" w:rsidRDefault="003C40A5"/>
          <w:p w14:paraId="6E7A5548" w14:textId="3CAB9759" w:rsidR="003C40A5" w:rsidRDefault="003C40A5">
            <w:r>
              <w:t>Up to £100,000</w:t>
            </w:r>
          </w:p>
        </w:tc>
      </w:tr>
      <w:tr w:rsidR="006C41FA" w14:paraId="3A0C9A19" w14:textId="77777777" w:rsidTr="006C41FA">
        <w:trPr>
          <w:trHeight w:val="648"/>
        </w:trPr>
        <w:tc>
          <w:tcPr>
            <w:tcW w:w="562" w:type="dxa"/>
            <w:vMerge w:val="restart"/>
          </w:tcPr>
          <w:p w14:paraId="5192162F" w14:textId="77777777" w:rsidR="006C41FA" w:rsidRDefault="006C41FA"/>
        </w:tc>
        <w:tc>
          <w:tcPr>
            <w:tcW w:w="9072" w:type="dxa"/>
            <w:vMerge w:val="restart"/>
          </w:tcPr>
          <w:p w14:paraId="54C8581B" w14:textId="77777777" w:rsidR="006C41FA" w:rsidRPr="00FF1502" w:rsidRDefault="006C41FA" w:rsidP="00FF1502">
            <w:pPr>
              <w:pStyle w:val="paragraph"/>
              <w:spacing w:before="0" w:beforeAutospacing="0" w:after="0" w:afterAutospacing="0"/>
              <w:ind w:left="37" w:hanging="37"/>
              <w:jc w:val="both"/>
              <w:textAlignment w:val="baseline"/>
              <w:rPr>
                <w:rFonts w:ascii="Segoe UI" w:hAnsi="Segoe UI" w:cs="Segoe UI"/>
                <w:sz w:val="20"/>
                <w:szCs w:val="20"/>
              </w:rPr>
            </w:pPr>
            <w:r w:rsidRPr="00FF1502">
              <w:rPr>
                <w:rStyle w:val="normaltextrun"/>
                <w:rFonts w:ascii="Arial" w:eastAsiaTheme="majorEastAsia" w:hAnsi="Arial" w:cs="Arial"/>
                <w:b/>
                <w:bCs/>
                <w:color w:val="0070C0"/>
                <w:sz w:val="20"/>
                <w:szCs w:val="20"/>
              </w:rPr>
              <w:t>Communication and Interaction (Including Autism)</w:t>
            </w:r>
            <w:r w:rsidRPr="00FF1502">
              <w:rPr>
                <w:rStyle w:val="eop"/>
                <w:rFonts w:ascii="Arial" w:eastAsiaTheme="majorEastAsia" w:hAnsi="Arial" w:cs="Arial"/>
                <w:color w:val="0070C0"/>
                <w:sz w:val="20"/>
                <w:szCs w:val="20"/>
              </w:rPr>
              <w:t> </w:t>
            </w:r>
          </w:p>
          <w:p w14:paraId="24E8F5C7" w14:textId="77777777" w:rsidR="006C41FA" w:rsidRPr="00FF1502" w:rsidRDefault="006C41FA" w:rsidP="00FF1502">
            <w:pPr>
              <w:pStyle w:val="paragraph"/>
              <w:spacing w:before="0" w:beforeAutospacing="0" w:after="0" w:afterAutospacing="0"/>
              <w:ind w:left="37"/>
              <w:jc w:val="both"/>
              <w:textAlignment w:val="baseline"/>
              <w:rPr>
                <w:rFonts w:ascii="Segoe UI" w:hAnsi="Segoe UI" w:cs="Segoe UI"/>
                <w:sz w:val="20"/>
                <w:szCs w:val="20"/>
              </w:rPr>
            </w:pPr>
            <w:r w:rsidRPr="00FF1502">
              <w:rPr>
                <w:rStyle w:val="normaltextrun"/>
                <w:rFonts w:ascii="Arial" w:eastAsiaTheme="majorEastAsia" w:hAnsi="Arial" w:cs="Arial"/>
                <w:sz w:val="20"/>
                <w:szCs w:val="20"/>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the different aspects of speech, language or social communication at different times of their lives. Children and young people with autism spectrum disorder (ASD), including Asperger’s Syndrome and Autism, are likely to have </w:t>
            </w:r>
            <w:proofErr w:type="gramStart"/>
            <w:r w:rsidRPr="00FF1502">
              <w:rPr>
                <w:rStyle w:val="normaltextrun"/>
                <w:rFonts w:ascii="Arial" w:eastAsiaTheme="majorEastAsia" w:hAnsi="Arial" w:cs="Arial"/>
                <w:sz w:val="20"/>
                <w:szCs w:val="20"/>
              </w:rPr>
              <w:t>particular difficulties</w:t>
            </w:r>
            <w:proofErr w:type="gramEnd"/>
            <w:r w:rsidRPr="00FF1502">
              <w:rPr>
                <w:rStyle w:val="normaltextrun"/>
                <w:rFonts w:ascii="Arial" w:eastAsiaTheme="majorEastAsia" w:hAnsi="Arial" w:cs="Arial"/>
                <w:sz w:val="20"/>
                <w:szCs w:val="20"/>
              </w:rPr>
              <w:t xml:space="preserve"> with social interaction. They may also experience difficulties with language, communication and imagination, which can impact on how they relate to others.  </w:t>
            </w:r>
            <w:r w:rsidRPr="00FF1502">
              <w:rPr>
                <w:rStyle w:val="eop"/>
                <w:rFonts w:ascii="Arial" w:eastAsiaTheme="majorEastAsia" w:hAnsi="Arial" w:cs="Arial"/>
                <w:sz w:val="20"/>
                <w:szCs w:val="20"/>
              </w:rPr>
              <w:t> </w:t>
            </w:r>
          </w:p>
          <w:p w14:paraId="6C69F4AB" w14:textId="77777777" w:rsidR="006C41FA" w:rsidRDefault="006C41FA"/>
        </w:tc>
        <w:tc>
          <w:tcPr>
            <w:tcW w:w="1701" w:type="dxa"/>
          </w:tcPr>
          <w:p w14:paraId="18A22A98" w14:textId="77777777" w:rsidR="006C41FA" w:rsidRDefault="006C41FA"/>
          <w:p w14:paraId="37DC3E08" w14:textId="0FA87FBE" w:rsidR="006C41FA" w:rsidRDefault="006C41FA">
            <w:r>
              <w:t>Band 1</w:t>
            </w:r>
          </w:p>
        </w:tc>
        <w:tc>
          <w:tcPr>
            <w:tcW w:w="2410" w:type="dxa"/>
          </w:tcPr>
          <w:p w14:paraId="6F72ABB7" w14:textId="77777777" w:rsidR="006C41FA" w:rsidRDefault="006C41FA"/>
          <w:p w14:paraId="174480C4" w14:textId="494FECAE" w:rsidR="006C41FA" w:rsidRDefault="006C41FA">
            <w:r>
              <w:t>Up to £25,000</w:t>
            </w:r>
          </w:p>
        </w:tc>
      </w:tr>
      <w:tr w:rsidR="006C41FA" w14:paraId="6F23111B" w14:textId="77777777" w:rsidTr="00B62329">
        <w:trPr>
          <w:trHeight w:val="648"/>
        </w:trPr>
        <w:tc>
          <w:tcPr>
            <w:tcW w:w="562" w:type="dxa"/>
            <w:vMerge/>
          </w:tcPr>
          <w:p w14:paraId="74584BC5" w14:textId="77777777" w:rsidR="006C41FA" w:rsidRDefault="006C41FA"/>
        </w:tc>
        <w:tc>
          <w:tcPr>
            <w:tcW w:w="9072" w:type="dxa"/>
            <w:vMerge/>
          </w:tcPr>
          <w:p w14:paraId="7A5FBF98" w14:textId="77777777" w:rsidR="006C41FA" w:rsidRPr="00FF1502" w:rsidRDefault="006C41FA" w:rsidP="00FF1502">
            <w:pPr>
              <w:pStyle w:val="paragraph"/>
              <w:spacing w:before="0" w:beforeAutospacing="0" w:after="0" w:afterAutospacing="0"/>
              <w:ind w:left="37" w:hanging="37"/>
              <w:jc w:val="both"/>
              <w:textAlignment w:val="baseline"/>
              <w:rPr>
                <w:rStyle w:val="normaltextrun"/>
                <w:rFonts w:ascii="Arial" w:eastAsiaTheme="majorEastAsia" w:hAnsi="Arial" w:cs="Arial"/>
                <w:b/>
                <w:bCs/>
                <w:color w:val="0070C0"/>
                <w:sz w:val="20"/>
                <w:szCs w:val="20"/>
              </w:rPr>
            </w:pPr>
          </w:p>
        </w:tc>
        <w:tc>
          <w:tcPr>
            <w:tcW w:w="1701" w:type="dxa"/>
          </w:tcPr>
          <w:p w14:paraId="076C7605" w14:textId="77777777" w:rsidR="006C41FA" w:rsidRDefault="006C41FA"/>
          <w:p w14:paraId="46463450" w14:textId="40D35699" w:rsidR="006C41FA" w:rsidRDefault="006C41FA">
            <w:r>
              <w:t>Band 2</w:t>
            </w:r>
          </w:p>
        </w:tc>
        <w:tc>
          <w:tcPr>
            <w:tcW w:w="2410" w:type="dxa"/>
          </w:tcPr>
          <w:p w14:paraId="630438E9" w14:textId="77777777" w:rsidR="006C41FA" w:rsidRDefault="006C41FA"/>
          <w:p w14:paraId="0E51B1EA" w14:textId="77F94147" w:rsidR="006C41FA" w:rsidRDefault="006C41FA">
            <w:r>
              <w:t>Up to £50,000</w:t>
            </w:r>
          </w:p>
        </w:tc>
      </w:tr>
      <w:tr w:rsidR="006C41FA" w14:paraId="793F3678" w14:textId="77777777" w:rsidTr="00B62329">
        <w:trPr>
          <w:trHeight w:val="648"/>
        </w:trPr>
        <w:tc>
          <w:tcPr>
            <w:tcW w:w="562" w:type="dxa"/>
            <w:vMerge/>
          </w:tcPr>
          <w:p w14:paraId="2F54345E" w14:textId="77777777" w:rsidR="006C41FA" w:rsidRDefault="006C41FA"/>
        </w:tc>
        <w:tc>
          <w:tcPr>
            <w:tcW w:w="9072" w:type="dxa"/>
            <w:vMerge/>
          </w:tcPr>
          <w:p w14:paraId="4C69C1DB" w14:textId="77777777" w:rsidR="006C41FA" w:rsidRPr="00FF1502" w:rsidRDefault="006C41FA" w:rsidP="00FF1502">
            <w:pPr>
              <w:pStyle w:val="paragraph"/>
              <w:spacing w:before="0" w:beforeAutospacing="0" w:after="0" w:afterAutospacing="0"/>
              <w:ind w:left="37" w:hanging="37"/>
              <w:jc w:val="both"/>
              <w:textAlignment w:val="baseline"/>
              <w:rPr>
                <w:rStyle w:val="normaltextrun"/>
                <w:rFonts w:ascii="Arial" w:eastAsiaTheme="majorEastAsia" w:hAnsi="Arial" w:cs="Arial"/>
                <w:b/>
                <w:bCs/>
                <w:color w:val="0070C0"/>
                <w:sz w:val="20"/>
                <w:szCs w:val="20"/>
              </w:rPr>
            </w:pPr>
          </w:p>
        </w:tc>
        <w:tc>
          <w:tcPr>
            <w:tcW w:w="1701" w:type="dxa"/>
          </w:tcPr>
          <w:p w14:paraId="5CEA93B7" w14:textId="77777777" w:rsidR="006C41FA" w:rsidRDefault="006C41FA"/>
          <w:p w14:paraId="103EC1E2" w14:textId="01077E6C" w:rsidR="006C41FA" w:rsidRDefault="006C41FA">
            <w:r>
              <w:t>Band 3</w:t>
            </w:r>
          </w:p>
        </w:tc>
        <w:tc>
          <w:tcPr>
            <w:tcW w:w="2410" w:type="dxa"/>
          </w:tcPr>
          <w:p w14:paraId="2C7E1EDF" w14:textId="77777777" w:rsidR="006C41FA" w:rsidRDefault="006C41FA"/>
          <w:p w14:paraId="52A0ADFA" w14:textId="0A7F30E3" w:rsidR="006C41FA" w:rsidRDefault="006C41FA">
            <w:r>
              <w:t>Up to £75,000</w:t>
            </w:r>
          </w:p>
        </w:tc>
      </w:tr>
      <w:tr w:rsidR="006C41FA" w14:paraId="18E6A3AC" w14:textId="77777777" w:rsidTr="00B62329">
        <w:trPr>
          <w:trHeight w:val="648"/>
        </w:trPr>
        <w:tc>
          <w:tcPr>
            <w:tcW w:w="562" w:type="dxa"/>
            <w:vMerge/>
          </w:tcPr>
          <w:p w14:paraId="091993F5" w14:textId="77777777" w:rsidR="006C41FA" w:rsidRDefault="006C41FA"/>
        </w:tc>
        <w:tc>
          <w:tcPr>
            <w:tcW w:w="9072" w:type="dxa"/>
            <w:vMerge/>
          </w:tcPr>
          <w:p w14:paraId="354DC2F2" w14:textId="77777777" w:rsidR="006C41FA" w:rsidRPr="00FF1502" w:rsidRDefault="006C41FA" w:rsidP="00FF1502">
            <w:pPr>
              <w:pStyle w:val="paragraph"/>
              <w:spacing w:before="0" w:beforeAutospacing="0" w:after="0" w:afterAutospacing="0"/>
              <w:ind w:left="37" w:hanging="37"/>
              <w:jc w:val="both"/>
              <w:textAlignment w:val="baseline"/>
              <w:rPr>
                <w:rStyle w:val="normaltextrun"/>
                <w:rFonts w:ascii="Arial" w:eastAsiaTheme="majorEastAsia" w:hAnsi="Arial" w:cs="Arial"/>
                <w:b/>
                <w:bCs/>
                <w:color w:val="0070C0"/>
                <w:sz w:val="20"/>
                <w:szCs w:val="20"/>
              </w:rPr>
            </w:pPr>
          </w:p>
        </w:tc>
        <w:tc>
          <w:tcPr>
            <w:tcW w:w="1701" w:type="dxa"/>
          </w:tcPr>
          <w:p w14:paraId="153455A6" w14:textId="77777777" w:rsidR="006C41FA" w:rsidRDefault="006C41FA"/>
          <w:p w14:paraId="033C8673" w14:textId="0A6223F0" w:rsidR="006C41FA" w:rsidRDefault="006C41FA">
            <w:r>
              <w:t>Band 4</w:t>
            </w:r>
          </w:p>
        </w:tc>
        <w:tc>
          <w:tcPr>
            <w:tcW w:w="2410" w:type="dxa"/>
          </w:tcPr>
          <w:p w14:paraId="5D24AB4B" w14:textId="77777777" w:rsidR="006C41FA" w:rsidRDefault="006C41FA"/>
          <w:p w14:paraId="43FE96A9" w14:textId="453FA289" w:rsidR="006C41FA" w:rsidRDefault="006C41FA">
            <w:r>
              <w:t>Up to £100,000</w:t>
            </w:r>
          </w:p>
        </w:tc>
      </w:tr>
      <w:tr w:rsidR="00E31365" w14:paraId="56BBA5AD" w14:textId="77777777" w:rsidTr="00E31365">
        <w:trPr>
          <w:trHeight w:val="714"/>
        </w:trPr>
        <w:tc>
          <w:tcPr>
            <w:tcW w:w="562" w:type="dxa"/>
            <w:vMerge w:val="restart"/>
          </w:tcPr>
          <w:p w14:paraId="695356B3" w14:textId="77777777" w:rsidR="00E31365" w:rsidRDefault="00E31365"/>
        </w:tc>
        <w:tc>
          <w:tcPr>
            <w:tcW w:w="9072" w:type="dxa"/>
            <w:vMerge w:val="restart"/>
          </w:tcPr>
          <w:p w14:paraId="1EEE2541" w14:textId="3C926CF6" w:rsidR="00E31365" w:rsidRPr="00FF1502" w:rsidRDefault="00E31365" w:rsidP="00FF1502">
            <w:pPr>
              <w:pStyle w:val="paragraph"/>
              <w:spacing w:before="0" w:beforeAutospacing="0" w:after="0" w:afterAutospacing="0"/>
              <w:jc w:val="both"/>
              <w:textAlignment w:val="baseline"/>
              <w:rPr>
                <w:rFonts w:ascii="Segoe UI" w:hAnsi="Segoe UI" w:cs="Segoe UI"/>
                <w:sz w:val="20"/>
                <w:szCs w:val="20"/>
              </w:rPr>
            </w:pPr>
            <w:r w:rsidRPr="00FF1502">
              <w:rPr>
                <w:rStyle w:val="normaltextrun"/>
                <w:rFonts w:ascii="Arial" w:eastAsiaTheme="majorEastAsia" w:hAnsi="Arial" w:cs="Arial"/>
                <w:b/>
                <w:bCs/>
                <w:color w:val="0070C0"/>
                <w:sz w:val="20"/>
                <w:szCs w:val="20"/>
              </w:rPr>
              <w:t>Social</w:t>
            </w:r>
            <w:r>
              <w:rPr>
                <w:rStyle w:val="normaltextrun"/>
                <w:rFonts w:ascii="Arial" w:eastAsiaTheme="majorEastAsia" w:hAnsi="Arial" w:cs="Arial"/>
                <w:b/>
                <w:bCs/>
                <w:color w:val="0070C0"/>
                <w:sz w:val="20"/>
                <w:szCs w:val="20"/>
              </w:rPr>
              <w:t>,</w:t>
            </w:r>
            <w:r w:rsidRPr="00FF1502">
              <w:rPr>
                <w:rStyle w:val="normaltextrun"/>
                <w:rFonts w:ascii="Arial" w:eastAsiaTheme="majorEastAsia" w:hAnsi="Arial" w:cs="Arial"/>
                <w:b/>
                <w:bCs/>
                <w:color w:val="0070C0"/>
                <w:sz w:val="20"/>
                <w:szCs w:val="20"/>
              </w:rPr>
              <w:t xml:space="preserve"> Emotion</w:t>
            </w:r>
            <w:r>
              <w:rPr>
                <w:rStyle w:val="normaltextrun"/>
                <w:rFonts w:ascii="Arial" w:eastAsiaTheme="majorEastAsia" w:hAnsi="Arial" w:cs="Arial"/>
                <w:b/>
                <w:bCs/>
                <w:color w:val="0070C0"/>
                <w:sz w:val="20"/>
                <w:szCs w:val="20"/>
              </w:rPr>
              <w:t>a</w:t>
            </w:r>
            <w:r>
              <w:rPr>
                <w:rStyle w:val="normaltextrun"/>
                <w:rFonts w:ascii="Arial" w:eastAsiaTheme="majorEastAsia" w:hAnsi="Arial" w:cs="Arial"/>
                <w:color w:val="0070C0"/>
                <w:sz w:val="20"/>
                <w:szCs w:val="20"/>
              </w:rPr>
              <w:t>l</w:t>
            </w:r>
            <w:r w:rsidRPr="00FF1502">
              <w:rPr>
                <w:rStyle w:val="normaltextrun"/>
                <w:rFonts w:ascii="Arial" w:eastAsiaTheme="majorEastAsia" w:hAnsi="Arial" w:cs="Arial"/>
                <w:b/>
                <w:bCs/>
                <w:color w:val="0070C0"/>
                <w:sz w:val="20"/>
                <w:szCs w:val="20"/>
              </w:rPr>
              <w:t xml:space="preserve"> Mental Health</w:t>
            </w:r>
            <w:r w:rsidRPr="00FF1502">
              <w:rPr>
                <w:rStyle w:val="eop"/>
                <w:rFonts w:ascii="Arial" w:eastAsiaTheme="majorEastAsia" w:hAnsi="Arial" w:cs="Arial"/>
                <w:color w:val="0070C0"/>
                <w:sz w:val="20"/>
                <w:szCs w:val="20"/>
              </w:rPr>
              <w:t> </w:t>
            </w:r>
          </w:p>
          <w:p w14:paraId="3117E77C" w14:textId="34A77E59" w:rsidR="00E31365" w:rsidRPr="00FF1502" w:rsidRDefault="00E31365" w:rsidP="00FF1502">
            <w:pPr>
              <w:pStyle w:val="paragraph"/>
              <w:spacing w:before="0" w:beforeAutospacing="0" w:after="0" w:afterAutospacing="0"/>
              <w:jc w:val="both"/>
              <w:textAlignment w:val="baseline"/>
              <w:rPr>
                <w:rFonts w:ascii="Segoe UI" w:hAnsi="Segoe UI" w:cs="Segoe UI"/>
                <w:color w:val="000000"/>
                <w:sz w:val="20"/>
                <w:szCs w:val="20"/>
              </w:rPr>
            </w:pPr>
            <w:r w:rsidRPr="00FF1502">
              <w:rPr>
                <w:rStyle w:val="normaltextrun"/>
                <w:rFonts w:ascii="Arial" w:eastAsiaTheme="majorEastAsia" w:hAnsi="Arial" w:cs="Arial"/>
                <w:color w:val="000000"/>
                <w:sz w:val="20"/>
                <w:szCs w:val="20"/>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w:t>
            </w:r>
            <w:r w:rsidRPr="00FF1502">
              <w:rPr>
                <w:rStyle w:val="normaltextrun"/>
                <w:rFonts w:ascii="Arial" w:eastAsiaTheme="majorEastAsia" w:hAnsi="Arial" w:cs="Arial"/>
                <w:color w:val="000000"/>
                <w:sz w:val="20"/>
                <w:szCs w:val="20"/>
              </w:rPr>
              <w:lastRenderedPageBreak/>
              <w:t>have disorders such as attention deficit disorder, attention deficit hyperactive disorder or attachment disorder. Education settings should have clear processes to support children and young people, including how they will manage the effect of any disruptive behaviour, so it does not adversely affect other pupils.  </w:t>
            </w:r>
            <w:r w:rsidRPr="00FF1502">
              <w:rPr>
                <w:rStyle w:val="eop"/>
                <w:rFonts w:ascii="Arial" w:eastAsiaTheme="majorEastAsia" w:hAnsi="Arial" w:cs="Arial"/>
                <w:color w:val="000000"/>
                <w:sz w:val="20"/>
                <w:szCs w:val="20"/>
              </w:rPr>
              <w:t> </w:t>
            </w:r>
          </w:p>
          <w:p w14:paraId="2713BDC1" w14:textId="6E18DBC1" w:rsidR="00E31365" w:rsidRDefault="00E31365" w:rsidP="002C416F">
            <w:pPr>
              <w:pStyle w:val="paragraph"/>
              <w:spacing w:before="0" w:beforeAutospacing="0" w:after="0" w:afterAutospacing="0"/>
              <w:ind w:left="37"/>
              <w:jc w:val="both"/>
              <w:textAlignment w:val="baseline"/>
              <w:rPr>
                <w:rFonts w:ascii="Segoe UI" w:hAnsi="Segoe UI" w:cs="Segoe UI"/>
                <w:sz w:val="18"/>
                <w:szCs w:val="18"/>
              </w:rPr>
            </w:pPr>
            <w:r>
              <w:rPr>
                <w:rStyle w:val="eop"/>
                <w:rFonts w:ascii="Arial" w:eastAsiaTheme="majorEastAsia" w:hAnsi="Arial" w:cs="Arial"/>
                <w:sz w:val="22"/>
                <w:szCs w:val="22"/>
              </w:rPr>
              <w:t> </w:t>
            </w:r>
          </w:p>
          <w:p w14:paraId="3D3209D0" w14:textId="77777777" w:rsidR="00E31365" w:rsidRDefault="00E31365" w:rsidP="002C416F">
            <w:pPr>
              <w:pStyle w:val="paragraph"/>
              <w:spacing w:before="0" w:beforeAutospacing="0" w:after="0" w:afterAutospacing="0"/>
              <w:ind w:left="37"/>
              <w:jc w:val="both"/>
              <w:textAlignment w:val="baseline"/>
            </w:pPr>
          </w:p>
        </w:tc>
        <w:tc>
          <w:tcPr>
            <w:tcW w:w="1701" w:type="dxa"/>
          </w:tcPr>
          <w:p w14:paraId="0B6D7149" w14:textId="77777777" w:rsidR="00E31365" w:rsidRDefault="00E31365"/>
          <w:p w14:paraId="43AF42E9" w14:textId="217FCD5E" w:rsidR="00E31365" w:rsidRDefault="00E31365">
            <w:r>
              <w:t>Band 1</w:t>
            </w:r>
          </w:p>
        </w:tc>
        <w:tc>
          <w:tcPr>
            <w:tcW w:w="2410" w:type="dxa"/>
          </w:tcPr>
          <w:p w14:paraId="7B1846F1" w14:textId="77777777" w:rsidR="00E31365" w:rsidRDefault="00E31365"/>
          <w:p w14:paraId="6D667CC4" w14:textId="262121E6" w:rsidR="00E31365" w:rsidRDefault="00E31365">
            <w:r>
              <w:t>Up to £25,000</w:t>
            </w:r>
          </w:p>
          <w:p w14:paraId="35A6B006" w14:textId="4BC27A05" w:rsidR="00E31365" w:rsidRDefault="00E31365" w:rsidP="0035328D"/>
        </w:tc>
      </w:tr>
      <w:tr w:rsidR="00E31365" w14:paraId="0FDA5FE4" w14:textId="77777777" w:rsidTr="0035328D">
        <w:trPr>
          <w:trHeight w:val="714"/>
        </w:trPr>
        <w:tc>
          <w:tcPr>
            <w:tcW w:w="562" w:type="dxa"/>
            <w:vMerge/>
          </w:tcPr>
          <w:p w14:paraId="1649864D" w14:textId="77777777" w:rsidR="00E31365" w:rsidRDefault="00E31365"/>
        </w:tc>
        <w:tc>
          <w:tcPr>
            <w:tcW w:w="9072" w:type="dxa"/>
            <w:vMerge/>
          </w:tcPr>
          <w:p w14:paraId="1DB1EC93" w14:textId="77777777" w:rsidR="00E31365" w:rsidRPr="00FF1502" w:rsidRDefault="00E31365" w:rsidP="00FF1502">
            <w:pPr>
              <w:pStyle w:val="paragraph"/>
              <w:spacing w:before="0" w:beforeAutospacing="0" w:after="0" w:afterAutospacing="0"/>
              <w:jc w:val="both"/>
              <w:textAlignment w:val="baseline"/>
              <w:rPr>
                <w:rStyle w:val="normaltextrun"/>
                <w:rFonts w:ascii="Arial" w:eastAsiaTheme="majorEastAsia" w:hAnsi="Arial" w:cs="Arial"/>
                <w:b/>
                <w:bCs/>
                <w:color w:val="0070C0"/>
                <w:sz w:val="20"/>
                <w:szCs w:val="20"/>
              </w:rPr>
            </w:pPr>
          </w:p>
        </w:tc>
        <w:tc>
          <w:tcPr>
            <w:tcW w:w="1701" w:type="dxa"/>
          </w:tcPr>
          <w:p w14:paraId="0CAB14A8" w14:textId="77777777" w:rsidR="00E31365" w:rsidRDefault="00E31365"/>
          <w:p w14:paraId="4DCD8A82" w14:textId="5DF7B34F" w:rsidR="00E31365" w:rsidRDefault="00E31365">
            <w:r>
              <w:t>Band 2</w:t>
            </w:r>
          </w:p>
        </w:tc>
        <w:tc>
          <w:tcPr>
            <w:tcW w:w="2410" w:type="dxa"/>
          </w:tcPr>
          <w:p w14:paraId="0436DB70" w14:textId="77777777" w:rsidR="00E31365" w:rsidRDefault="00E31365"/>
          <w:p w14:paraId="61478586" w14:textId="6B445326" w:rsidR="00E31365" w:rsidRDefault="00E31365">
            <w:r>
              <w:t>Up to £50,000</w:t>
            </w:r>
          </w:p>
        </w:tc>
      </w:tr>
      <w:tr w:rsidR="00E31365" w14:paraId="6F0556B7" w14:textId="77777777" w:rsidTr="0035328D">
        <w:trPr>
          <w:trHeight w:val="714"/>
        </w:trPr>
        <w:tc>
          <w:tcPr>
            <w:tcW w:w="562" w:type="dxa"/>
            <w:vMerge/>
          </w:tcPr>
          <w:p w14:paraId="479D6B1F" w14:textId="77777777" w:rsidR="00E31365" w:rsidRDefault="00E31365"/>
        </w:tc>
        <w:tc>
          <w:tcPr>
            <w:tcW w:w="9072" w:type="dxa"/>
            <w:vMerge/>
          </w:tcPr>
          <w:p w14:paraId="7D234E10" w14:textId="77777777" w:rsidR="00E31365" w:rsidRPr="00FF1502" w:rsidRDefault="00E31365" w:rsidP="00FF1502">
            <w:pPr>
              <w:pStyle w:val="paragraph"/>
              <w:spacing w:before="0" w:beforeAutospacing="0" w:after="0" w:afterAutospacing="0"/>
              <w:jc w:val="both"/>
              <w:textAlignment w:val="baseline"/>
              <w:rPr>
                <w:rStyle w:val="normaltextrun"/>
                <w:rFonts w:ascii="Arial" w:eastAsiaTheme="majorEastAsia" w:hAnsi="Arial" w:cs="Arial"/>
                <w:b/>
                <w:bCs/>
                <w:color w:val="0070C0"/>
                <w:sz w:val="20"/>
                <w:szCs w:val="20"/>
              </w:rPr>
            </w:pPr>
          </w:p>
        </w:tc>
        <w:tc>
          <w:tcPr>
            <w:tcW w:w="1701" w:type="dxa"/>
          </w:tcPr>
          <w:p w14:paraId="530F6175" w14:textId="77777777" w:rsidR="00E31365" w:rsidRDefault="00E31365"/>
          <w:p w14:paraId="4E76B8CB" w14:textId="4E237CEF" w:rsidR="00E31365" w:rsidRDefault="00E31365">
            <w:r>
              <w:t>Band 3</w:t>
            </w:r>
          </w:p>
        </w:tc>
        <w:tc>
          <w:tcPr>
            <w:tcW w:w="2410" w:type="dxa"/>
          </w:tcPr>
          <w:p w14:paraId="4D9D59FE" w14:textId="77777777" w:rsidR="00E31365" w:rsidRDefault="00E31365"/>
          <w:p w14:paraId="3B9C1CB0" w14:textId="71D03BED" w:rsidR="00E31365" w:rsidRDefault="00E31365">
            <w:r>
              <w:t>Up to £75.000</w:t>
            </w:r>
          </w:p>
        </w:tc>
      </w:tr>
      <w:tr w:rsidR="00E31365" w14:paraId="7B5D1A3D" w14:textId="77777777" w:rsidTr="0035328D">
        <w:trPr>
          <w:trHeight w:val="714"/>
        </w:trPr>
        <w:tc>
          <w:tcPr>
            <w:tcW w:w="562" w:type="dxa"/>
            <w:vMerge/>
          </w:tcPr>
          <w:p w14:paraId="3ADC8EF6" w14:textId="77777777" w:rsidR="00E31365" w:rsidRDefault="00E31365"/>
        </w:tc>
        <w:tc>
          <w:tcPr>
            <w:tcW w:w="9072" w:type="dxa"/>
            <w:vMerge/>
          </w:tcPr>
          <w:p w14:paraId="3A653D2C" w14:textId="77777777" w:rsidR="00E31365" w:rsidRPr="00FF1502" w:rsidRDefault="00E31365" w:rsidP="00FF1502">
            <w:pPr>
              <w:pStyle w:val="paragraph"/>
              <w:spacing w:before="0" w:beforeAutospacing="0" w:after="0" w:afterAutospacing="0"/>
              <w:jc w:val="both"/>
              <w:textAlignment w:val="baseline"/>
              <w:rPr>
                <w:rStyle w:val="normaltextrun"/>
                <w:rFonts w:ascii="Arial" w:eastAsiaTheme="majorEastAsia" w:hAnsi="Arial" w:cs="Arial"/>
                <w:b/>
                <w:bCs/>
                <w:color w:val="0070C0"/>
                <w:sz w:val="20"/>
                <w:szCs w:val="20"/>
              </w:rPr>
            </w:pPr>
          </w:p>
        </w:tc>
        <w:tc>
          <w:tcPr>
            <w:tcW w:w="1701" w:type="dxa"/>
          </w:tcPr>
          <w:p w14:paraId="4918DFA8" w14:textId="77777777" w:rsidR="00E31365" w:rsidRDefault="00E31365"/>
          <w:p w14:paraId="58E8979A" w14:textId="0E50CD84" w:rsidR="00E31365" w:rsidRDefault="00E31365">
            <w:r>
              <w:t>Band 4</w:t>
            </w:r>
          </w:p>
        </w:tc>
        <w:tc>
          <w:tcPr>
            <w:tcW w:w="2410" w:type="dxa"/>
          </w:tcPr>
          <w:p w14:paraId="4B7D6CCE" w14:textId="77777777" w:rsidR="00E31365" w:rsidRDefault="00E31365"/>
          <w:p w14:paraId="6E0CC7E2" w14:textId="32F69FD9" w:rsidR="00E31365" w:rsidRDefault="00E31365">
            <w:r>
              <w:t>Up to £100,000</w:t>
            </w:r>
          </w:p>
        </w:tc>
      </w:tr>
      <w:tr w:rsidR="00E31365" w14:paraId="183C0893" w14:textId="77777777" w:rsidTr="00E31365">
        <w:trPr>
          <w:trHeight w:val="702"/>
        </w:trPr>
        <w:tc>
          <w:tcPr>
            <w:tcW w:w="562" w:type="dxa"/>
            <w:vMerge w:val="restart"/>
          </w:tcPr>
          <w:p w14:paraId="4DF0CE4E" w14:textId="77777777" w:rsidR="00E31365" w:rsidRDefault="00E31365"/>
        </w:tc>
        <w:tc>
          <w:tcPr>
            <w:tcW w:w="9072" w:type="dxa"/>
            <w:vMerge w:val="restart"/>
          </w:tcPr>
          <w:p w14:paraId="4AB3612A" w14:textId="77777777" w:rsidR="00E31365" w:rsidRDefault="00E31365" w:rsidP="002C416F">
            <w:pPr>
              <w:pStyle w:val="paragraph"/>
              <w:spacing w:before="0" w:beforeAutospacing="0" w:after="0" w:afterAutospacing="0"/>
              <w:ind w:left="37"/>
              <w:jc w:val="both"/>
              <w:textAlignment w:val="baseline"/>
              <w:rPr>
                <w:rFonts w:ascii="Segoe UI" w:hAnsi="Segoe UI" w:cs="Segoe UI"/>
                <w:sz w:val="18"/>
                <w:szCs w:val="18"/>
              </w:rPr>
            </w:pPr>
            <w:r>
              <w:rPr>
                <w:rStyle w:val="normaltextrun"/>
                <w:rFonts w:ascii="Arial" w:eastAsiaTheme="majorEastAsia" w:hAnsi="Arial" w:cs="Arial"/>
                <w:b/>
                <w:bCs/>
                <w:color w:val="0070C0"/>
                <w:sz w:val="22"/>
                <w:szCs w:val="22"/>
              </w:rPr>
              <w:t>Physical and Sensory</w:t>
            </w:r>
            <w:r>
              <w:rPr>
                <w:rStyle w:val="eop"/>
                <w:rFonts w:ascii="Arial" w:eastAsiaTheme="majorEastAsia" w:hAnsi="Arial" w:cs="Arial"/>
                <w:color w:val="0070C0"/>
                <w:sz w:val="22"/>
                <w:szCs w:val="22"/>
              </w:rPr>
              <w:t> </w:t>
            </w:r>
          </w:p>
          <w:p w14:paraId="2A276D84" w14:textId="5EA37161" w:rsidR="00E31365" w:rsidRDefault="00E31365" w:rsidP="002C416F">
            <w:r>
              <w:rPr>
                <w:rStyle w:val="normaltextrun"/>
                <w:rFonts w:ascii="Arial" w:hAnsi="Arial" w:cs="Arial"/>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w:t>
            </w:r>
            <w:proofErr w:type="spellStart"/>
            <w:r>
              <w:rPr>
                <w:rStyle w:val="normaltextrun"/>
                <w:rFonts w:ascii="Arial" w:hAnsi="Arial" w:cs="Arial"/>
              </w:rPr>
              <w:t>habilitation</w:t>
            </w:r>
            <w:proofErr w:type="spellEnd"/>
            <w:r>
              <w:rPr>
                <w:rStyle w:val="normaltextrun"/>
                <w:rFonts w:ascii="Arial" w:hAnsi="Arial" w:cs="Arial"/>
              </w:rPr>
              <w:t xml:space="preserve"> support. (some health needs will require a referral into the NHS for any </w:t>
            </w:r>
            <w:proofErr w:type="spellStart"/>
            <w:r>
              <w:rPr>
                <w:rStyle w:val="normaltextrun"/>
                <w:rFonts w:ascii="Arial" w:hAnsi="Arial" w:cs="Arial"/>
              </w:rPr>
              <w:t>specialsit</w:t>
            </w:r>
            <w:proofErr w:type="spellEnd"/>
            <w:r>
              <w:rPr>
                <w:rStyle w:val="normaltextrun"/>
                <w:rFonts w:ascii="Arial" w:hAnsi="Arial" w:cs="Arial"/>
              </w:rPr>
              <w:t xml:space="preserve"> equipment). Children and young people with an MSI have a combination of vision and hearing difficulties. Some children and young people with a physical disability (PD) require additional ongoing support and equipment to access all the opportunities available to their peers</w:t>
            </w:r>
          </w:p>
        </w:tc>
        <w:tc>
          <w:tcPr>
            <w:tcW w:w="1701" w:type="dxa"/>
          </w:tcPr>
          <w:p w14:paraId="7A54C3FF" w14:textId="77777777" w:rsidR="00E31365" w:rsidRDefault="00E31365"/>
          <w:p w14:paraId="45A11900" w14:textId="24E9DA85" w:rsidR="00E31365" w:rsidRDefault="00E31365">
            <w:r>
              <w:t>Band 1</w:t>
            </w:r>
          </w:p>
        </w:tc>
        <w:tc>
          <w:tcPr>
            <w:tcW w:w="2410" w:type="dxa"/>
          </w:tcPr>
          <w:p w14:paraId="6B4BE9AE" w14:textId="77777777" w:rsidR="00E31365" w:rsidRDefault="00E31365"/>
          <w:p w14:paraId="5048E9BE" w14:textId="13EDD9FB" w:rsidR="00E31365" w:rsidRDefault="00E31365">
            <w:r>
              <w:t>Up to £25,000</w:t>
            </w:r>
          </w:p>
        </w:tc>
      </w:tr>
      <w:tr w:rsidR="00E31365" w14:paraId="605299DB" w14:textId="77777777" w:rsidTr="00A775FE">
        <w:trPr>
          <w:trHeight w:val="702"/>
        </w:trPr>
        <w:tc>
          <w:tcPr>
            <w:tcW w:w="562" w:type="dxa"/>
            <w:vMerge/>
          </w:tcPr>
          <w:p w14:paraId="7D8DB477" w14:textId="77777777" w:rsidR="00E31365" w:rsidRDefault="00E31365"/>
        </w:tc>
        <w:tc>
          <w:tcPr>
            <w:tcW w:w="9072" w:type="dxa"/>
            <w:vMerge/>
          </w:tcPr>
          <w:p w14:paraId="40514439" w14:textId="77777777" w:rsidR="00E31365" w:rsidRDefault="00E31365" w:rsidP="002C416F">
            <w:pPr>
              <w:pStyle w:val="paragraph"/>
              <w:spacing w:before="0" w:beforeAutospacing="0" w:after="0" w:afterAutospacing="0"/>
              <w:ind w:left="37"/>
              <w:jc w:val="both"/>
              <w:textAlignment w:val="baseline"/>
              <w:rPr>
                <w:rStyle w:val="normaltextrun"/>
                <w:rFonts w:ascii="Arial" w:eastAsiaTheme="majorEastAsia" w:hAnsi="Arial" w:cs="Arial"/>
                <w:b/>
                <w:bCs/>
                <w:color w:val="0070C0"/>
                <w:sz w:val="22"/>
                <w:szCs w:val="22"/>
              </w:rPr>
            </w:pPr>
          </w:p>
        </w:tc>
        <w:tc>
          <w:tcPr>
            <w:tcW w:w="1701" w:type="dxa"/>
          </w:tcPr>
          <w:p w14:paraId="17AA6B34" w14:textId="77777777" w:rsidR="00E31365" w:rsidRDefault="00E31365"/>
          <w:p w14:paraId="08B31674" w14:textId="0F4A3A58" w:rsidR="00E31365" w:rsidRDefault="00E31365">
            <w:r>
              <w:t>Band 2</w:t>
            </w:r>
          </w:p>
        </w:tc>
        <w:tc>
          <w:tcPr>
            <w:tcW w:w="2410" w:type="dxa"/>
          </w:tcPr>
          <w:p w14:paraId="1E0D2A5B" w14:textId="77777777" w:rsidR="00E31365" w:rsidRDefault="00E31365"/>
          <w:p w14:paraId="59710827" w14:textId="23368422" w:rsidR="00E31365" w:rsidRDefault="00E31365">
            <w:r>
              <w:t>Up to £50,000</w:t>
            </w:r>
          </w:p>
        </w:tc>
      </w:tr>
      <w:tr w:rsidR="00E31365" w14:paraId="517D7B0B" w14:textId="77777777" w:rsidTr="00A775FE">
        <w:trPr>
          <w:trHeight w:val="702"/>
        </w:trPr>
        <w:tc>
          <w:tcPr>
            <w:tcW w:w="562" w:type="dxa"/>
            <w:vMerge/>
          </w:tcPr>
          <w:p w14:paraId="5BE550A8" w14:textId="77777777" w:rsidR="00E31365" w:rsidRDefault="00E31365"/>
        </w:tc>
        <w:tc>
          <w:tcPr>
            <w:tcW w:w="9072" w:type="dxa"/>
            <w:vMerge/>
          </w:tcPr>
          <w:p w14:paraId="07541EAB" w14:textId="77777777" w:rsidR="00E31365" w:rsidRDefault="00E31365" w:rsidP="002C416F">
            <w:pPr>
              <w:pStyle w:val="paragraph"/>
              <w:spacing w:before="0" w:beforeAutospacing="0" w:after="0" w:afterAutospacing="0"/>
              <w:ind w:left="37"/>
              <w:jc w:val="both"/>
              <w:textAlignment w:val="baseline"/>
              <w:rPr>
                <w:rStyle w:val="normaltextrun"/>
                <w:rFonts w:ascii="Arial" w:eastAsiaTheme="majorEastAsia" w:hAnsi="Arial" w:cs="Arial"/>
                <w:b/>
                <w:bCs/>
                <w:color w:val="0070C0"/>
                <w:sz w:val="22"/>
                <w:szCs w:val="22"/>
              </w:rPr>
            </w:pPr>
          </w:p>
        </w:tc>
        <w:tc>
          <w:tcPr>
            <w:tcW w:w="1701" w:type="dxa"/>
          </w:tcPr>
          <w:p w14:paraId="6108B44C" w14:textId="77777777" w:rsidR="00E31365" w:rsidRDefault="00E31365"/>
          <w:p w14:paraId="41292D3C" w14:textId="6F52B24A" w:rsidR="00E31365" w:rsidRDefault="00E31365">
            <w:r>
              <w:t>Band 3</w:t>
            </w:r>
          </w:p>
        </w:tc>
        <w:tc>
          <w:tcPr>
            <w:tcW w:w="2410" w:type="dxa"/>
          </w:tcPr>
          <w:p w14:paraId="766015AD" w14:textId="77777777" w:rsidR="00E31365" w:rsidRDefault="00E31365"/>
          <w:p w14:paraId="63B92997" w14:textId="4C701AA7" w:rsidR="00E31365" w:rsidRDefault="00E31365">
            <w:r>
              <w:t>Up to £75,000</w:t>
            </w:r>
          </w:p>
        </w:tc>
      </w:tr>
      <w:tr w:rsidR="00E31365" w14:paraId="57808984" w14:textId="77777777" w:rsidTr="00A775FE">
        <w:trPr>
          <w:trHeight w:val="702"/>
        </w:trPr>
        <w:tc>
          <w:tcPr>
            <w:tcW w:w="562" w:type="dxa"/>
            <w:vMerge/>
          </w:tcPr>
          <w:p w14:paraId="55E63222" w14:textId="77777777" w:rsidR="00E31365" w:rsidRDefault="00E31365"/>
        </w:tc>
        <w:tc>
          <w:tcPr>
            <w:tcW w:w="9072" w:type="dxa"/>
            <w:vMerge/>
          </w:tcPr>
          <w:p w14:paraId="7B1E13B8" w14:textId="77777777" w:rsidR="00E31365" w:rsidRDefault="00E31365" w:rsidP="002C416F">
            <w:pPr>
              <w:pStyle w:val="paragraph"/>
              <w:spacing w:before="0" w:beforeAutospacing="0" w:after="0" w:afterAutospacing="0"/>
              <w:ind w:left="37"/>
              <w:jc w:val="both"/>
              <w:textAlignment w:val="baseline"/>
              <w:rPr>
                <w:rStyle w:val="normaltextrun"/>
                <w:rFonts w:ascii="Arial" w:eastAsiaTheme="majorEastAsia" w:hAnsi="Arial" w:cs="Arial"/>
                <w:b/>
                <w:bCs/>
                <w:color w:val="0070C0"/>
                <w:sz w:val="22"/>
                <w:szCs w:val="22"/>
              </w:rPr>
            </w:pPr>
          </w:p>
        </w:tc>
        <w:tc>
          <w:tcPr>
            <w:tcW w:w="1701" w:type="dxa"/>
          </w:tcPr>
          <w:p w14:paraId="49391EAC" w14:textId="77777777" w:rsidR="00E31365" w:rsidRDefault="00E31365"/>
          <w:p w14:paraId="4BE78416" w14:textId="2755DD99" w:rsidR="00E31365" w:rsidRDefault="00E31365">
            <w:r>
              <w:t>Band 4</w:t>
            </w:r>
          </w:p>
        </w:tc>
        <w:tc>
          <w:tcPr>
            <w:tcW w:w="2410" w:type="dxa"/>
          </w:tcPr>
          <w:p w14:paraId="430BA5E6" w14:textId="77777777" w:rsidR="00E31365" w:rsidRDefault="00E31365"/>
          <w:p w14:paraId="0BC31EC8" w14:textId="7D17E3DA" w:rsidR="00E31365" w:rsidRDefault="00E31365">
            <w:r>
              <w:t>Up to £100,000</w:t>
            </w:r>
          </w:p>
        </w:tc>
      </w:tr>
      <w:tr w:rsidR="008051FF" w14:paraId="4D18CDDD" w14:textId="77777777" w:rsidTr="00081E63">
        <w:tc>
          <w:tcPr>
            <w:tcW w:w="562" w:type="dxa"/>
          </w:tcPr>
          <w:p w14:paraId="10885E61" w14:textId="77777777" w:rsidR="008051FF" w:rsidRDefault="008051FF"/>
        </w:tc>
        <w:tc>
          <w:tcPr>
            <w:tcW w:w="13183" w:type="dxa"/>
            <w:gridSpan w:val="3"/>
          </w:tcPr>
          <w:p w14:paraId="5A997B37" w14:textId="42F74560" w:rsidR="008051FF" w:rsidRPr="001347B0" w:rsidRDefault="00B90085">
            <w:pPr>
              <w:rPr>
                <w:rFonts w:ascii="Arial" w:hAnsi="Arial" w:cs="Arial"/>
              </w:rPr>
            </w:pPr>
            <w:r w:rsidRPr="001347B0">
              <w:rPr>
                <w:rFonts w:ascii="Arial" w:hAnsi="Arial" w:cs="Arial"/>
              </w:rPr>
              <w:t xml:space="preserve">CYP require specialist provision as their needs cannot be met in mainstream </w:t>
            </w:r>
            <w:proofErr w:type="gramStart"/>
            <w:r w:rsidRPr="001347B0">
              <w:rPr>
                <w:rFonts w:ascii="Arial" w:hAnsi="Arial" w:cs="Arial"/>
              </w:rPr>
              <w:t>schools</w:t>
            </w:r>
            <w:proofErr w:type="gramEnd"/>
            <w:r w:rsidRPr="001347B0">
              <w:rPr>
                <w:rFonts w:ascii="Arial" w:hAnsi="Arial" w:cs="Arial"/>
              </w:rPr>
              <w:t xml:space="preserve"> so a specialist provision is required.</w:t>
            </w:r>
          </w:p>
        </w:tc>
      </w:tr>
      <w:tr w:rsidR="0033286E" w14:paraId="598CFECE" w14:textId="77777777" w:rsidTr="00081E63">
        <w:tc>
          <w:tcPr>
            <w:tcW w:w="562" w:type="dxa"/>
          </w:tcPr>
          <w:p w14:paraId="7D33E09B" w14:textId="77777777" w:rsidR="0033286E" w:rsidRDefault="0033286E"/>
        </w:tc>
        <w:tc>
          <w:tcPr>
            <w:tcW w:w="13183" w:type="dxa"/>
            <w:gridSpan w:val="3"/>
          </w:tcPr>
          <w:p w14:paraId="4FD5D659" w14:textId="373900FE" w:rsidR="0033286E" w:rsidRPr="00B90085" w:rsidRDefault="0033286E">
            <w:r w:rsidRPr="00B90085">
              <w:rPr>
                <w:rFonts w:ascii="Arial" w:hAnsi="Arial" w:cs="Arial"/>
              </w:rPr>
              <w:t xml:space="preserve">Band 1 = </w:t>
            </w:r>
            <w:r w:rsidR="00666AA7" w:rsidRPr="00B90085">
              <w:rPr>
                <w:rFonts w:ascii="Arial" w:hAnsi="Arial" w:cs="Arial"/>
              </w:rPr>
              <w:t>up to £</w:t>
            </w:r>
            <w:r w:rsidR="00135AB6" w:rsidRPr="00B90085">
              <w:rPr>
                <w:rFonts w:ascii="Arial" w:hAnsi="Arial" w:cs="Arial"/>
              </w:rPr>
              <w:t>25,657 would</w:t>
            </w:r>
            <w:r w:rsidR="008051FF" w:rsidRPr="00B90085">
              <w:rPr>
                <w:rFonts w:ascii="Arial" w:hAnsi="Arial" w:cs="Arial"/>
              </w:rPr>
              <w:t xml:space="preserve"> expect to see delivery of provision outlined in section F of the EHCP typically this would include whole class </w:t>
            </w:r>
            <w:r w:rsidR="00135AB6" w:rsidRPr="00B90085">
              <w:rPr>
                <w:rFonts w:ascii="Arial" w:hAnsi="Arial" w:cs="Arial"/>
              </w:rPr>
              <w:t>teaching, (typically</w:t>
            </w:r>
            <w:r w:rsidR="008051FF" w:rsidRPr="00B90085">
              <w:rPr>
                <w:rFonts w:ascii="Arial" w:hAnsi="Arial" w:cs="Arial"/>
              </w:rPr>
              <w:t xml:space="preserve"> this would be in a smaller class size than seen in mainstream schools). small</w:t>
            </w:r>
            <w:r w:rsidR="00F72040" w:rsidRPr="00B90085">
              <w:rPr>
                <w:rFonts w:ascii="Arial" w:hAnsi="Arial" w:cs="Arial"/>
              </w:rPr>
              <w:t>er</w:t>
            </w:r>
            <w:r w:rsidR="008051FF" w:rsidRPr="00B90085">
              <w:rPr>
                <w:rFonts w:ascii="Arial" w:hAnsi="Arial" w:cs="Arial"/>
              </w:rPr>
              <w:t xml:space="preserve"> group teaching </w:t>
            </w:r>
            <w:r w:rsidR="00F72040" w:rsidRPr="00B90085">
              <w:rPr>
                <w:rFonts w:ascii="Arial" w:hAnsi="Arial" w:cs="Arial"/>
              </w:rPr>
              <w:t xml:space="preserve">for intervention </w:t>
            </w:r>
            <w:r w:rsidR="008051FF" w:rsidRPr="00B90085">
              <w:rPr>
                <w:rFonts w:ascii="Arial" w:hAnsi="Arial" w:cs="Arial"/>
              </w:rPr>
              <w:t>and some 1:1 as required</w:t>
            </w:r>
            <w:r w:rsidR="00F72040" w:rsidRPr="00B90085">
              <w:rPr>
                <w:rFonts w:ascii="Arial" w:hAnsi="Arial" w:cs="Arial"/>
              </w:rPr>
              <w:t>. This would include access to appropriate education resources.</w:t>
            </w:r>
          </w:p>
        </w:tc>
      </w:tr>
      <w:tr w:rsidR="0033286E" w14:paraId="56DDD171" w14:textId="77777777" w:rsidTr="00AF61C9">
        <w:tc>
          <w:tcPr>
            <w:tcW w:w="562" w:type="dxa"/>
          </w:tcPr>
          <w:p w14:paraId="1A52C8F9" w14:textId="77777777" w:rsidR="0033286E" w:rsidRDefault="0033286E"/>
        </w:tc>
        <w:tc>
          <w:tcPr>
            <w:tcW w:w="13183" w:type="dxa"/>
            <w:gridSpan w:val="3"/>
          </w:tcPr>
          <w:p w14:paraId="6A7CF55D" w14:textId="081BA5AA" w:rsidR="0033286E" w:rsidRPr="00B90085" w:rsidRDefault="0033286E">
            <w:r w:rsidRPr="00B90085">
              <w:t xml:space="preserve">Band 2 = </w:t>
            </w:r>
            <w:r w:rsidR="008051FF" w:rsidRPr="00B90085">
              <w:t>up to £50,000</w:t>
            </w:r>
            <w:r w:rsidRPr="00B90085">
              <w:t xml:space="preserve"> </w:t>
            </w:r>
            <w:r w:rsidR="00F72040" w:rsidRPr="00B90085">
              <w:rPr>
                <w:rFonts w:ascii="Arial" w:hAnsi="Arial" w:cs="Arial"/>
              </w:rPr>
              <w:t xml:space="preserve">would expect to see delivery of provision outlined in section F of the EHCP typically this would include whole class </w:t>
            </w:r>
            <w:r w:rsidR="00135AB6" w:rsidRPr="00B90085">
              <w:rPr>
                <w:rFonts w:ascii="Arial" w:hAnsi="Arial" w:cs="Arial"/>
              </w:rPr>
              <w:t>teaching, (typically</w:t>
            </w:r>
            <w:r w:rsidR="00F72040" w:rsidRPr="00B90085">
              <w:rPr>
                <w:rFonts w:ascii="Arial" w:hAnsi="Arial" w:cs="Arial"/>
              </w:rPr>
              <w:t xml:space="preserve"> this would be in a smaller class size than seen in mainstream schools). smaller group teaching for intervention for larger part of the school day and some 1:1 for planned interventions</w:t>
            </w:r>
            <w:r w:rsidR="000A397E" w:rsidRPr="00B90085">
              <w:rPr>
                <w:rFonts w:ascii="Arial" w:hAnsi="Arial" w:cs="Arial"/>
              </w:rPr>
              <w:t>. This would include access to appropriate education resources.</w:t>
            </w:r>
          </w:p>
        </w:tc>
      </w:tr>
      <w:tr w:rsidR="0033286E" w14:paraId="61FCA2CD" w14:textId="77777777" w:rsidTr="00942530">
        <w:tc>
          <w:tcPr>
            <w:tcW w:w="562" w:type="dxa"/>
          </w:tcPr>
          <w:p w14:paraId="3E97D3C4" w14:textId="77777777" w:rsidR="0033286E" w:rsidRDefault="0033286E"/>
        </w:tc>
        <w:tc>
          <w:tcPr>
            <w:tcW w:w="13183" w:type="dxa"/>
            <w:gridSpan w:val="3"/>
          </w:tcPr>
          <w:p w14:paraId="33BC830F" w14:textId="4A293096" w:rsidR="0033286E" w:rsidRPr="00B90085" w:rsidRDefault="0033286E">
            <w:r w:rsidRPr="00B90085">
              <w:t xml:space="preserve">Band 3 = </w:t>
            </w:r>
            <w:r w:rsidR="008051FF" w:rsidRPr="00B90085">
              <w:t xml:space="preserve">up to £75,000 </w:t>
            </w:r>
            <w:r w:rsidR="00F72040" w:rsidRPr="00B90085">
              <w:rPr>
                <w:rFonts w:ascii="Arial" w:hAnsi="Arial" w:cs="Arial"/>
              </w:rPr>
              <w:t xml:space="preserve">would expect to see delivery of provision outlined in section F of the EHCP typically this would include whole class </w:t>
            </w:r>
            <w:r w:rsidR="00135AB6" w:rsidRPr="00B90085">
              <w:rPr>
                <w:rFonts w:ascii="Arial" w:hAnsi="Arial" w:cs="Arial"/>
              </w:rPr>
              <w:t>teaching, (typically</w:t>
            </w:r>
            <w:r w:rsidR="00F72040" w:rsidRPr="00B90085">
              <w:rPr>
                <w:rFonts w:ascii="Arial" w:hAnsi="Arial" w:cs="Arial"/>
              </w:rPr>
              <w:t xml:space="preserve"> this would be in a smaller class size than seen in mainstream schools). With 1:1 for planned intervention for larger part of school day.</w:t>
            </w:r>
            <w:r w:rsidR="000A397E" w:rsidRPr="00B90085">
              <w:rPr>
                <w:rFonts w:ascii="Arial" w:hAnsi="Arial" w:cs="Arial"/>
              </w:rPr>
              <w:t xml:space="preserve"> </w:t>
            </w:r>
            <w:r w:rsidR="00135AB6" w:rsidRPr="00B90085">
              <w:rPr>
                <w:rFonts w:ascii="Arial" w:hAnsi="Arial" w:cs="Arial"/>
              </w:rPr>
              <w:t>(this</w:t>
            </w:r>
            <w:r w:rsidR="00B90085" w:rsidRPr="00B90085">
              <w:rPr>
                <w:rFonts w:ascii="Arial" w:hAnsi="Arial" w:cs="Arial"/>
              </w:rPr>
              <w:t xml:space="preserve"> would include support during unstructured </w:t>
            </w:r>
            <w:r w:rsidR="00135AB6" w:rsidRPr="00B90085">
              <w:rPr>
                <w:rFonts w:ascii="Arial" w:hAnsi="Arial" w:cs="Arial"/>
              </w:rPr>
              <w:t>time) This</w:t>
            </w:r>
            <w:r w:rsidR="000A397E" w:rsidRPr="00B90085">
              <w:rPr>
                <w:rFonts w:ascii="Arial" w:hAnsi="Arial" w:cs="Arial"/>
              </w:rPr>
              <w:t xml:space="preserve"> would include access to appropriate education resources.</w:t>
            </w:r>
          </w:p>
        </w:tc>
      </w:tr>
      <w:tr w:rsidR="0033286E" w14:paraId="1D4E933D" w14:textId="77777777" w:rsidTr="00BF6168">
        <w:tc>
          <w:tcPr>
            <w:tcW w:w="562" w:type="dxa"/>
          </w:tcPr>
          <w:p w14:paraId="5A26765A" w14:textId="77777777" w:rsidR="0033286E" w:rsidRDefault="0033286E"/>
        </w:tc>
        <w:tc>
          <w:tcPr>
            <w:tcW w:w="13183" w:type="dxa"/>
            <w:gridSpan w:val="3"/>
          </w:tcPr>
          <w:p w14:paraId="201D375B" w14:textId="557D7107" w:rsidR="00B90085" w:rsidRPr="00B90085" w:rsidRDefault="0033286E">
            <w:pPr>
              <w:rPr>
                <w:rFonts w:ascii="Arial" w:hAnsi="Arial" w:cs="Arial"/>
              </w:rPr>
            </w:pPr>
            <w:r w:rsidRPr="00B90085">
              <w:rPr>
                <w:rFonts w:ascii="Arial" w:hAnsi="Arial" w:cs="Arial"/>
              </w:rPr>
              <w:t xml:space="preserve">Band 4 = </w:t>
            </w:r>
            <w:r w:rsidR="008051FF" w:rsidRPr="00B90085">
              <w:rPr>
                <w:rFonts w:ascii="Arial" w:hAnsi="Arial" w:cs="Arial"/>
              </w:rPr>
              <w:t xml:space="preserve">up to £100,000 </w:t>
            </w:r>
            <w:r w:rsidR="00B90085" w:rsidRPr="00B90085">
              <w:rPr>
                <w:rFonts w:ascii="Arial" w:hAnsi="Arial" w:cs="Arial"/>
              </w:rPr>
              <w:t>would expect to see delivery of provision outlined in section F of the EHCP typically this would include whole c</w:t>
            </w:r>
            <w:r w:rsidR="00135AB6">
              <w:rPr>
                <w:rFonts w:ascii="Arial" w:hAnsi="Arial" w:cs="Arial"/>
              </w:rPr>
              <w:t>lass</w:t>
            </w:r>
            <w:r w:rsidR="00B90085" w:rsidRPr="00B90085">
              <w:rPr>
                <w:rFonts w:ascii="Arial" w:hAnsi="Arial" w:cs="Arial"/>
              </w:rPr>
              <w:t xml:space="preserve"> teaching with expectation that 1:1 will be provided throughout the day and 2:1 is being provided to manage the complexity of need as it arises throughout the day. </w:t>
            </w:r>
            <w:r w:rsidR="00B90085">
              <w:rPr>
                <w:rFonts w:ascii="Arial" w:hAnsi="Arial" w:cs="Arial"/>
              </w:rPr>
              <w:t>This would include access to appropriate education resources.</w:t>
            </w:r>
          </w:p>
          <w:p w14:paraId="611C7F5A" w14:textId="4AC89C01" w:rsidR="000A397E" w:rsidRDefault="000A397E"/>
        </w:tc>
      </w:tr>
      <w:tr w:rsidR="00233F85" w14:paraId="01BAFBA4" w14:textId="77777777" w:rsidTr="00853EA5">
        <w:tc>
          <w:tcPr>
            <w:tcW w:w="562" w:type="dxa"/>
          </w:tcPr>
          <w:p w14:paraId="0564B9C0" w14:textId="77777777" w:rsidR="00233F85" w:rsidRDefault="00233F85"/>
        </w:tc>
        <w:tc>
          <w:tcPr>
            <w:tcW w:w="13183" w:type="dxa"/>
            <w:gridSpan w:val="3"/>
          </w:tcPr>
          <w:p w14:paraId="0F09B03E" w14:textId="3E658471" w:rsidR="00233F85" w:rsidRDefault="001347B0">
            <w:r>
              <w:rPr>
                <w:rFonts w:ascii="Arial" w:hAnsi="Arial" w:cs="Arial"/>
              </w:rPr>
              <w:t>Request for band changes must be evidenced an agreed by our Funding and placement Panel.</w:t>
            </w:r>
            <w:r w:rsidR="00135AB6">
              <w:rPr>
                <w:rFonts w:ascii="Arial" w:hAnsi="Arial" w:cs="Arial"/>
              </w:rPr>
              <w:t xml:space="preserve"> This must be supported by evidence over the period of a term.</w:t>
            </w:r>
          </w:p>
        </w:tc>
      </w:tr>
      <w:tr w:rsidR="00233F85" w14:paraId="55DA589E" w14:textId="77777777" w:rsidTr="00206D91">
        <w:tc>
          <w:tcPr>
            <w:tcW w:w="562" w:type="dxa"/>
          </w:tcPr>
          <w:p w14:paraId="3956D869" w14:textId="77777777" w:rsidR="00233F85" w:rsidRDefault="00233F85"/>
        </w:tc>
        <w:tc>
          <w:tcPr>
            <w:tcW w:w="13183" w:type="dxa"/>
            <w:gridSpan w:val="3"/>
          </w:tcPr>
          <w:p w14:paraId="698370BB" w14:textId="77777777" w:rsidR="00233F85" w:rsidRDefault="00233F85">
            <w:pPr>
              <w:rPr>
                <w:rFonts w:ascii="Arial" w:hAnsi="Arial" w:cs="Arial"/>
              </w:rPr>
            </w:pPr>
            <w:r w:rsidRPr="00233F85">
              <w:rPr>
                <w:rFonts w:ascii="Arial" w:hAnsi="Arial" w:cs="Arial"/>
              </w:rPr>
              <w:t xml:space="preserve">For avoidance of </w:t>
            </w:r>
            <w:proofErr w:type="gramStart"/>
            <w:r w:rsidRPr="00233F85">
              <w:rPr>
                <w:rFonts w:ascii="Arial" w:hAnsi="Arial" w:cs="Arial"/>
              </w:rPr>
              <w:t>doubt:-</w:t>
            </w:r>
            <w:proofErr w:type="gramEnd"/>
            <w:r w:rsidRPr="00233F85">
              <w:rPr>
                <w:rFonts w:ascii="Arial" w:hAnsi="Arial" w:cs="Arial"/>
              </w:rPr>
              <w:t xml:space="preserve"> </w:t>
            </w:r>
          </w:p>
          <w:p w14:paraId="7FB2260D" w14:textId="77777777" w:rsidR="00233F85" w:rsidRDefault="00233F85">
            <w:pPr>
              <w:rPr>
                <w:rFonts w:ascii="Arial" w:hAnsi="Arial" w:cs="Arial"/>
              </w:rPr>
            </w:pPr>
            <w:r w:rsidRPr="00233F85">
              <w:rPr>
                <w:rFonts w:ascii="Arial" w:hAnsi="Arial" w:cs="Arial"/>
              </w:rPr>
              <w:t xml:space="preserve">a) The Provider will not be paid by the Council for school meals. The Provider must apply/ reapply for Free School Meals or support parents to apply/ reapply whilst the Pupil is supported at the Service. </w:t>
            </w:r>
          </w:p>
          <w:p w14:paraId="20180DE9" w14:textId="7288A86C" w:rsidR="00233F85" w:rsidRDefault="00233F85">
            <w:r w:rsidRPr="00233F85">
              <w:rPr>
                <w:rFonts w:ascii="Arial" w:hAnsi="Arial" w:cs="Arial"/>
              </w:rPr>
              <w:t xml:space="preserve">(b) The Provider will not be paid by the Council for school uniforms. The Provider must ensure uniform costs are reasonable and affordable for all children/family’s and should ensure uniforms can be purchased from local retail stores. Please note the Provider must not enforce, for temporary/split placements, the purchasing from the child/family, specific items of uniform that have the school/setting’s logo </w:t>
            </w:r>
            <w:proofErr w:type="gramStart"/>
            <w:r w:rsidRPr="00233F85">
              <w:rPr>
                <w:rFonts w:ascii="Arial" w:hAnsi="Arial" w:cs="Arial"/>
              </w:rPr>
              <w:t>where</w:t>
            </w:r>
            <w:proofErr w:type="gramEnd"/>
            <w:r w:rsidRPr="00233F85">
              <w:rPr>
                <w:rFonts w:ascii="Arial" w:hAnsi="Arial" w:cs="Arial"/>
              </w:rPr>
              <w:t xml:space="preserve"> reasonably practicable.</w:t>
            </w:r>
          </w:p>
        </w:tc>
      </w:tr>
    </w:tbl>
    <w:p w14:paraId="414D513B" w14:textId="77777777" w:rsidR="009706F9" w:rsidRDefault="009706F9"/>
    <w:sectPr w:rsidR="009706F9" w:rsidSect="00FF150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73"/>
    <w:rsid w:val="000A397E"/>
    <w:rsid w:val="000D4A67"/>
    <w:rsid w:val="000D4B28"/>
    <w:rsid w:val="000F68C4"/>
    <w:rsid w:val="000F6CCB"/>
    <w:rsid w:val="001347B0"/>
    <w:rsid w:val="00135AB6"/>
    <w:rsid w:val="001B1207"/>
    <w:rsid w:val="001E72CE"/>
    <w:rsid w:val="00233F85"/>
    <w:rsid w:val="002C416F"/>
    <w:rsid w:val="003167D9"/>
    <w:rsid w:val="0033286E"/>
    <w:rsid w:val="003C40A5"/>
    <w:rsid w:val="00497616"/>
    <w:rsid w:val="004E1F16"/>
    <w:rsid w:val="00643173"/>
    <w:rsid w:val="00665EC8"/>
    <w:rsid w:val="00666AA7"/>
    <w:rsid w:val="006C41FA"/>
    <w:rsid w:val="007A6137"/>
    <w:rsid w:val="008051FF"/>
    <w:rsid w:val="008E394E"/>
    <w:rsid w:val="00956E77"/>
    <w:rsid w:val="009706F9"/>
    <w:rsid w:val="00A55BFD"/>
    <w:rsid w:val="00A73B16"/>
    <w:rsid w:val="00B90085"/>
    <w:rsid w:val="00D60F81"/>
    <w:rsid w:val="00E31365"/>
    <w:rsid w:val="00E63466"/>
    <w:rsid w:val="00EA085E"/>
    <w:rsid w:val="00F144BF"/>
    <w:rsid w:val="00F72040"/>
    <w:rsid w:val="00FB75E3"/>
    <w:rsid w:val="00FE4AA1"/>
    <w:rsid w:val="00FF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77A6"/>
  <w15:chartTrackingRefBased/>
  <w15:docId w15:val="{551F2039-BF1F-4A03-A1F9-C259C581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173"/>
    <w:rPr>
      <w:rFonts w:eastAsiaTheme="majorEastAsia" w:cstheme="majorBidi"/>
      <w:color w:val="272727" w:themeColor="text1" w:themeTint="D8"/>
    </w:rPr>
  </w:style>
  <w:style w:type="paragraph" w:styleId="Title">
    <w:name w:val="Title"/>
    <w:basedOn w:val="Normal"/>
    <w:next w:val="Normal"/>
    <w:link w:val="TitleChar"/>
    <w:uiPriority w:val="10"/>
    <w:qFormat/>
    <w:rsid w:val="0064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173"/>
    <w:pPr>
      <w:spacing w:before="160"/>
      <w:jc w:val="center"/>
    </w:pPr>
    <w:rPr>
      <w:i/>
      <w:iCs/>
      <w:color w:val="404040" w:themeColor="text1" w:themeTint="BF"/>
    </w:rPr>
  </w:style>
  <w:style w:type="character" w:customStyle="1" w:styleId="QuoteChar">
    <w:name w:val="Quote Char"/>
    <w:basedOn w:val="DefaultParagraphFont"/>
    <w:link w:val="Quote"/>
    <w:uiPriority w:val="29"/>
    <w:rsid w:val="00643173"/>
    <w:rPr>
      <w:i/>
      <w:iCs/>
      <w:color w:val="404040" w:themeColor="text1" w:themeTint="BF"/>
    </w:rPr>
  </w:style>
  <w:style w:type="paragraph" w:styleId="ListParagraph">
    <w:name w:val="List Paragraph"/>
    <w:basedOn w:val="Normal"/>
    <w:uiPriority w:val="34"/>
    <w:qFormat/>
    <w:rsid w:val="00643173"/>
    <w:pPr>
      <w:ind w:left="720"/>
      <w:contextualSpacing/>
    </w:pPr>
  </w:style>
  <w:style w:type="character" w:styleId="IntenseEmphasis">
    <w:name w:val="Intense Emphasis"/>
    <w:basedOn w:val="DefaultParagraphFont"/>
    <w:uiPriority w:val="21"/>
    <w:qFormat/>
    <w:rsid w:val="00643173"/>
    <w:rPr>
      <w:i/>
      <w:iCs/>
      <w:color w:val="0F4761" w:themeColor="accent1" w:themeShade="BF"/>
    </w:rPr>
  </w:style>
  <w:style w:type="paragraph" w:styleId="IntenseQuote">
    <w:name w:val="Intense Quote"/>
    <w:basedOn w:val="Normal"/>
    <w:next w:val="Normal"/>
    <w:link w:val="IntenseQuoteChar"/>
    <w:uiPriority w:val="30"/>
    <w:qFormat/>
    <w:rsid w:val="0064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173"/>
    <w:rPr>
      <w:i/>
      <w:iCs/>
      <w:color w:val="0F4761" w:themeColor="accent1" w:themeShade="BF"/>
    </w:rPr>
  </w:style>
  <w:style w:type="character" w:styleId="IntenseReference">
    <w:name w:val="Intense Reference"/>
    <w:basedOn w:val="DefaultParagraphFont"/>
    <w:uiPriority w:val="32"/>
    <w:qFormat/>
    <w:rsid w:val="00643173"/>
    <w:rPr>
      <w:b/>
      <w:bCs/>
      <w:smallCaps/>
      <w:color w:val="0F4761" w:themeColor="accent1" w:themeShade="BF"/>
      <w:spacing w:val="5"/>
    </w:rPr>
  </w:style>
  <w:style w:type="table" w:styleId="TableGrid">
    <w:name w:val="Table Grid"/>
    <w:basedOn w:val="TableNormal"/>
    <w:uiPriority w:val="39"/>
    <w:rsid w:val="0064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F15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F1502"/>
  </w:style>
  <w:style w:type="character" w:customStyle="1" w:styleId="eop">
    <w:name w:val="eop"/>
    <w:basedOn w:val="DefaultParagraphFont"/>
    <w:rsid w:val="00FF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9600">
      <w:bodyDiv w:val="1"/>
      <w:marLeft w:val="0"/>
      <w:marRight w:val="0"/>
      <w:marTop w:val="0"/>
      <w:marBottom w:val="0"/>
      <w:divBdr>
        <w:top w:val="none" w:sz="0" w:space="0" w:color="auto"/>
        <w:left w:val="none" w:sz="0" w:space="0" w:color="auto"/>
        <w:bottom w:val="none" w:sz="0" w:space="0" w:color="auto"/>
        <w:right w:val="none" w:sz="0" w:space="0" w:color="auto"/>
      </w:divBdr>
      <w:divsChild>
        <w:div w:id="1079668987">
          <w:marLeft w:val="0"/>
          <w:marRight w:val="0"/>
          <w:marTop w:val="0"/>
          <w:marBottom w:val="0"/>
          <w:divBdr>
            <w:top w:val="none" w:sz="0" w:space="0" w:color="auto"/>
            <w:left w:val="none" w:sz="0" w:space="0" w:color="auto"/>
            <w:bottom w:val="none" w:sz="0" w:space="0" w:color="auto"/>
            <w:right w:val="none" w:sz="0" w:space="0" w:color="auto"/>
          </w:divBdr>
        </w:div>
        <w:div w:id="1889106212">
          <w:marLeft w:val="0"/>
          <w:marRight w:val="0"/>
          <w:marTop w:val="0"/>
          <w:marBottom w:val="0"/>
          <w:divBdr>
            <w:top w:val="none" w:sz="0" w:space="0" w:color="auto"/>
            <w:left w:val="none" w:sz="0" w:space="0" w:color="auto"/>
            <w:bottom w:val="none" w:sz="0" w:space="0" w:color="auto"/>
            <w:right w:val="none" w:sz="0" w:space="0" w:color="auto"/>
          </w:divBdr>
        </w:div>
      </w:divsChild>
    </w:div>
    <w:div w:id="669523247">
      <w:bodyDiv w:val="1"/>
      <w:marLeft w:val="0"/>
      <w:marRight w:val="0"/>
      <w:marTop w:val="0"/>
      <w:marBottom w:val="0"/>
      <w:divBdr>
        <w:top w:val="none" w:sz="0" w:space="0" w:color="auto"/>
        <w:left w:val="none" w:sz="0" w:space="0" w:color="auto"/>
        <w:bottom w:val="none" w:sz="0" w:space="0" w:color="auto"/>
        <w:right w:val="none" w:sz="0" w:space="0" w:color="auto"/>
      </w:divBdr>
      <w:divsChild>
        <w:div w:id="1581258384">
          <w:marLeft w:val="0"/>
          <w:marRight w:val="0"/>
          <w:marTop w:val="0"/>
          <w:marBottom w:val="0"/>
          <w:divBdr>
            <w:top w:val="none" w:sz="0" w:space="0" w:color="auto"/>
            <w:left w:val="none" w:sz="0" w:space="0" w:color="auto"/>
            <w:bottom w:val="none" w:sz="0" w:space="0" w:color="auto"/>
            <w:right w:val="none" w:sz="0" w:space="0" w:color="auto"/>
          </w:divBdr>
        </w:div>
        <w:div w:id="366878373">
          <w:marLeft w:val="0"/>
          <w:marRight w:val="0"/>
          <w:marTop w:val="0"/>
          <w:marBottom w:val="0"/>
          <w:divBdr>
            <w:top w:val="none" w:sz="0" w:space="0" w:color="auto"/>
            <w:left w:val="none" w:sz="0" w:space="0" w:color="auto"/>
            <w:bottom w:val="none" w:sz="0" w:space="0" w:color="auto"/>
            <w:right w:val="none" w:sz="0" w:space="0" w:color="auto"/>
          </w:divBdr>
        </w:div>
      </w:divsChild>
    </w:div>
    <w:div w:id="750929574">
      <w:bodyDiv w:val="1"/>
      <w:marLeft w:val="0"/>
      <w:marRight w:val="0"/>
      <w:marTop w:val="0"/>
      <w:marBottom w:val="0"/>
      <w:divBdr>
        <w:top w:val="none" w:sz="0" w:space="0" w:color="auto"/>
        <w:left w:val="none" w:sz="0" w:space="0" w:color="auto"/>
        <w:bottom w:val="none" w:sz="0" w:space="0" w:color="auto"/>
        <w:right w:val="none" w:sz="0" w:space="0" w:color="auto"/>
      </w:divBdr>
      <w:divsChild>
        <w:div w:id="1215388482">
          <w:marLeft w:val="0"/>
          <w:marRight w:val="0"/>
          <w:marTop w:val="0"/>
          <w:marBottom w:val="0"/>
          <w:divBdr>
            <w:top w:val="none" w:sz="0" w:space="0" w:color="auto"/>
            <w:left w:val="none" w:sz="0" w:space="0" w:color="auto"/>
            <w:bottom w:val="none" w:sz="0" w:space="0" w:color="auto"/>
            <w:right w:val="none" w:sz="0" w:space="0" w:color="auto"/>
          </w:divBdr>
        </w:div>
        <w:div w:id="638917355">
          <w:marLeft w:val="0"/>
          <w:marRight w:val="0"/>
          <w:marTop w:val="0"/>
          <w:marBottom w:val="0"/>
          <w:divBdr>
            <w:top w:val="none" w:sz="0" w:space="0" w:color="auto"/>
            <w:left w:val="none" w:sz="0" w:space="0" w:color="auto"/>
            <w:bottom w:val="none" w:sz="0" w:space="0" w:color="auto"/>
            <w:right w:val="none" w:sz="0" w:space="0" w:color="auto"/>
          </w:divBdr>
        </w:div>
      </w:divsChild>
    </w:div>
    <w:div w:id="1711101533">
      <w:bodyDiv w:val="1"/>
      <w:marLeft w:val="0"/>
      <w:marRight w:val="0"/>
      <w:marTop w:val="0"/>
      <w:marBottom w:val="0"/>
      <w:divBdr>
        <w:top w:val="none" w:sz="0" w:space="0" w:color="auto"/>
        <w:left w:val="none" w:sz="0" w:space="0" w:color="auto"/>
        <w:bottom w:val="none" w:sz="0" w:space="0" w:color="auto"/>
        <w:right w:val="none" w:sz="0" w:space="0" w:color="auto"/>
      </w:divBdr>
      <w:divsChild>
        <w:div w:id="275910585">
          <w:marLeft w:val="0"/>
          <w:marRight w:val="0"/>
          <w:marTop w:val="0"/>
          <w:marBottom w:val="0"/>
          <w:divBdr>
            <w:top w:val="none" w:sz="0" w:space="0" w:color="auto"/>
            <w:left w:val="none" w:sz="0" w:space="0" w:color="auto"/>
            <w:bottom w:val="none" w:sz="0" w:space="0" w:color="auto"/>
            <w:right w:val="none" w:sz="0" w:space="0" w:color="auto"/>
          </w:divBdr>
        </w:div>
        <w:div w:id="79340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1002</Words>
  <Characters>5713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Gibbons</dc:creator>
  <cp:keywords/>
  <dc:description/>
  <cp:lastModifiedBy>Brooke Brant</cp:lastModifiedBy>
  <cp:revision>2</cp:revision>
  <dcterms:created xsi:type="dcterms:W3CDTF">2026-04-24T13:02:00Z</dcterms:created>
  <dcterms:modified xsi:type="dcterms:W3CDTF">2026-04-24T13:02:00Z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2025-10-15T12:53:56Z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377f9d3d-a82c-4e43-b292-4079969a661c</vt:lpwstr>
  </property>
  <property fmtid="{D5CDD505-2E9C-101B-9397-08002B2CF9AE}" pid="8" name="MSIP_Label_d0354ca5-015e-47ab-9fdb-c0a8323bc23e_ContentBits">
    <vt:lpwstr>0</vt:lpwstr>
  </property>
  <property fmtid="{D5CDD505-2E9C-101B-9397-08002B2CF9AE}" pid="9" name="MSIP_Label_d0354ca5-015e-47ab-9fdb-c0a8323bc23e_Tag">
    <vt:lpwstr>10, 0, 1, 1</vt:lpwstr>
  </property>
</Properties>
</file>